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4A" w:rsidRDefault="004C7F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6094A" w:rsidRDefault="004C7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36094A" w:rsidRDefault="004C7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ОБРАЗОВАНИЯ </w:t>
      </w:r>
    </w:p>
    <w:p w:rsidR="0036094A" w:rsidRDefault="004C7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РАЙОНА САРАТОВСКОЙ ОБЛАСТИ</w:t>
      </w:r>
    </w:p>
    <w:p w:rsidR="0036094A" w:rsidRDefault="0036094A">
      <w:pPr>
        <w:rPr>
          <w:b/>
        </w:rPr>
      </w:pPr>
    </w:p>
    <w:p w:rsidR="0036094A" w:rsidRDefault="0036094A">
      <w:pPr>
        <w:rPr>
          <w:b/>
        </w:rPr>
      </w:pPr>
    </w:p>
    <w:p w:rsidR="0036094A" w:rsidRDefault="004C7F65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tbl>
      <w:tblPr>
        <w:tblW w:w="12988" w:type="dxa"/>
        <w:tblLayout w:type="fixed"/>
        <w:tblLook w:val="04A0"/>
      </w:tblPr>
      <w:tblGrid>
        <w:gridCol w:w="236"/>
        <w:gridCol w:w="126"/>
        <w:gridCol w:w="6218"/>
        <w:gridCol w:w="20"/>
        <w:gridCol w:w="3739"/>
        <w:gridCol w:w="2606"/>
        <w:gridCol w:w="43"/>
      </w:tblGrid>
      <w:tr w:rsidR="0036094A"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6094A" w:rsidRDefault="0036094A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6094A" w:rsidRDefault="0036094A">
            <w:pPr>
              <w:jc w:val="center"/>
              <w:rPr>
                <w:sz w:val="20"/>
                <w:szCs w:val="20"/>
              </w:rPr>
            </w:pPr>
          </w:p>
          <w:p w:rsidR="0036094A" w:rsidRDefault="00360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6094A" w:rsidRDefault="0036094A">
            <w:pPr>
              <w:jc w:val="right"/>
              <w:rPr>
                <w:sz w:val="28"/>
                <w:szCs w:val="28"/>
              </w:rPr>
            </w:pPr>
          </w:p>
        </w:tc>
      </w:tr>
      <w:tr w:rsidR="0036094A">
        <w:trPr>
          <w:gridAfter w:val="1"/>
          <w:wAfter w:w="43" w:type="dxa"/>
          <w:trHeight w:val="644"/>
        </w:trPr>
        <w:tc>
          <w:tcPr>
            <w:tcW w:w="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6094A" w:rsidRDefault="0036094A">
            <w:pPr>
              <w:rPr>
                <w:sz w:val="28"/>
                <w:szCs w:val="28"/>
              </w:rPr>
            </w:pPr>
          </w:p>
        </w:tc>
        <w:tc>
          <w:tcPr>
            <w:tcW w:w="64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6094A" w:rsidRDefault="004C7F65">
            <w:pPr>
              <w:jc w:val="center"/>
            </w:pPr>
            <w:r>
              <w:t>р.п.Татищево</w:t>
            </w:r>
          </w:p>
        </w:tc>
        <w:tc>
          <w:tcPr>
            <w:tcW w:w="642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6094A" w:rsidRDefault="0036094A">
            <w:pPr>
              <w:rPr>
                <w:sz w:val="28"/>
                <w:szCs w:val="28"/>
              </w:rPr>
            </w:pPr>
          </w:p>
        </w:tc>
      </w:tr>
      <w:tr w:rsidR="0036094A">
        <w:trPr>
          <w:gridAfter w:val="1"/>
          <w:wAfter w:w="43" w:type="dxa"/>
          <w:trHeight w:val="407"/>
        </w:trPr>
        <w:tc>
          <w:tcPr>
            <w:tcW w:w="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6094A" w:rsidRDefault="0036094A">
            <w:pPr>
              <w:pStyle w:val="af6"/>
              <w:jc w:val="center"/>
            </w:pPr>
          </w:p>
        </w:tc>
        <w:tc>
          <w:tcPr>
            <w:tcW w:w="10206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6094A" w:rsidRDefault="004C7F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стоимости гарантированного перечня услуг на погребение на территории Татищевского муниципального образования Татищевского муниципального района Саратовской области</w:t>
            </w:r>
          </w:p>
          <w:p w:rsidR="0036094A" w:rsidRDefault="0036094A" w:rsidP="00D66834">
            <w:pPr>
              <w:rPr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6094A" w:rsidRDefault="0036094A">
            <w:pPr>
              <w:rPr>
                <w:sz w:val="28"/>
                <w:szCs w:val="28"/>
              </w:rPr>
            </w:pPr>
          </w:p>
        </w:tc>
      </w:tr>
    </w:tbl>
    <w:p w:rsidR="0036094A" w:rsidRDefault="004C7F6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06.10.2003 № 131-ФЗ «Об общих при</w:t>
      </w:r>
      <w:r>
        <w:rPr>
          <w:bCs/>
          <w:sz w:val="28"/>
          <w:szCs w:val="28"/>
        </w:rPr>
        <w:t>нципах организации местного самоуправления в Российской Федерации», Федеральным законом от 12.01.1996 № 8-ФЗ «О погребении и похоронном деле», Постановления Правительства Российс</w:t>
      </w:r>
      <w:r w:rsidR="00CF2EEF">
        <w:rPr>
          <w:bCs/>
          <w:sz w:val="28"/>
          <w:szCs w:val="28"/>
        </w:rPr>
        <w:t>кой Федерации от 23.01.2025</w:t>
      </w:r>
      <w:r w:rsidR="00D66834">
        <w:rPr>
          <w:bCs/>
          <w:sz w:val="28"/>
          <w:szCs w:val="28"/>
        </w:rPr>
        <w:t xml:space="preserve"> № 33</w:t>
      </w:r>
      <w:r>
        <w:rPr>
          <w:bCs/>
          <w:sz w:val="28"/>
          <w:szCs w:val="28"/>
        </w:rPr>
        <w:t>«Об утверждении коэффициента индексации выплат</w:t>
      </w:r>
      <w:r w:rsidR="005D20EF">
        <w:rPr>
          <w:bCs/>
          <w:sz w:val="28"/>
          <w:szCs w:val="28"/>
        </w:rPr>
        <w:t>, пособий и компенсаций в 2025</w:t>
      </w:r>
      <w:r>
        <w:rPr>
          <w:bCs/>
          <w:sz w:val="28"/>
          <w:szCs w:val="28"/>
        </w:rPr>
        <w:t xml:space="preserve"> году», на основании Устава Татищевского муниципального образования Татищевского района Саратовской области Совет депутатов р е ш и л:</w:t>
      </w:r>
    </w:p>
    <w:p w:rsidR="0036094A" w:rsidRDefault="004C7F65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Утвердить:</w:t>
      </w:r>
    </w:p>
    <w:p w:rsidR="0036094A" w:rsidRDefault="004C7F65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стоимость услуг, предоставляемых согласно гарантированному перечню услуг по погребению, на территории Татищевского муниципального образования Татищевского муниципального района Саратовской области согласно приложению № 1;</w:t>
      </w:r>
    </w:p>
    <w:p w:rsidR="0036094A" w:rsidRDefault="004C7F65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стоимость услуг по погребению умер</w:t>
      </w:r>
      <w:r>
        <w:rPr>
          <w:bCs/>
          <w:sz w:val="28"/>
          <w:szCs w:val="28"/>
        </w:rPr>
        <w:t xml:space="preserve">ших (погибших), не имеющих супруга, близких родственников, иных родственников либо законного представителя умершего, при невозможности осуществить им погребение, при отсутствии иных лиц, взявших на себя обязанность осуществить погребение, а также умерших, </w:t>
      </w:r>
      <w:r>
        <w:rPr>
          <w:bCs/>
          <w:sz w:val="28"/>
          <w:szCs w:val="28"/>
        </w:rPr>
        <w:t>личность которых не установлена органами внутренних дел, на территории Татищевского муниципального образования Татищевского муниципального района Саратовской области согласно приложению № 2.</w:t>
      </w:r>
    </w:p>
    <w:p w:rsidR="0036094A" w:rsidRDefault="004C7F6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 силу:</w:t>
      </w:r>
    </w:p>
    <w:p w:rsidR="0036094A" w:rsidRDefault="004C7F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Татищевског</w:t>
      </w:r>
      <w:r>
        <w:rPr>
          <w:sz w:val="28"/>
          <w:szCs w:val="28"/>
        </w:rPr>
        <w:t xml:space="preserve">о муниципального образования Татищевского </w:t>
      </w:r>
      <w:r w:rsidR="005D20EF">
        <w:rPr>
          <w:sz w:val="28"/>
          <w:szCs w:val="28"/>
        </w:rPr>
        <w:t>района Саратовской области от 28.02.2024</w:t>
      </w:r>
      <w:r>
        <w:rPr>
          <w:sz w:val="28"/>
          <w:szCs w:val="28"/>
        </w:rPr>
        <w:t xml:space="preserve"> </w:t>
      </w:r>
      <w:r w:rsidR="005D20EF">
        <w:rPr>
          <w:sz w:val="28"/>
          <w:szCs w:val="28"/>
        </w:rPr>
        <w:t>№ 5/29-5 «Об утверждении стоимости гарантированного перечня услуг на погребение на территории Татищевского муниципального образования Татищевского района Саратовской области»</w:t>
      </w:r>
      <w:r>
        <w:rPr>
          <w:sz w:val="28"/>
          <w:szCs w:val="28"/>
        </w:rPr>
        <w:t>.</w:t>
      </w:r>
    </w:p>
    <w:p w:rsidR="0036094A" w:rsidRDefault="004C7F6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решение распространяется на правоотноше</w:t>
      </w:r>
      <w:r w:rsidR="005D20EF">
        <w:rPr>
          <w:bCs/>
          <w:sz w:val="28"/>
          <w:szCs w:val="28"/>
        </w:rPr>
        <w:t>ния, возникшие с 01 февраля 2025</w:t>
      </w:r>
      <w:r>
        <w:rPr>
          <w:bCs/>
          <w:sz w:val="28"/>
          <w:szCs w:val="28"/>
        </w:rPr>
        <w:t xml:space="preserve"> года.</w:t>
      </w:r>
    </w:p>
    <w:p w:rsidR="0036094A" w:rsidRDefault="004C7F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на официальном сайте Татищевского муниципального района Саратовской области в сети «Интернет».</w:t>
      </w:r>
    </w:p>
    <w:p w:rsidR="0036094A" w:rsidRDefault="004C7F65" w:rsidP="00CF2EE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36094A" w:rsidRDefault="004C7F65">
      <w:pPr>
        <w:pStyle w:val="Heading"/>
        <w:tabs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Татищевского </w:t>
      </w:r>
    </w:p>
    <w:p w:rsidR="0036094A" w:rsidRPr="00CF2EEF" w:rsidRDefault="004C7F65" w:rsidP="00CF2EEF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А.Н.Блохин</w:t>
      </w:r>
    </w:p>
    <w:p w:rsidR="00D66834" w:rsidRDefault="00D66834" w:rsidP="00CF2EEF">
      <w:pPr>
        <w:ind w:left="3970" w:firstLine="7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:rsidR="00D66834" w:rsidRDefault="00D66834" w:rsidP="00D66834">
      <w:pPr>
        <w:spacing w:line="228" w:lineRule="auto"/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Совета депутатов</w:t>
      </w:r>
    </w:p>
    <w:p w:rsidR="00D66834" w:rsidRDefault="00D66834" w:rsidP="00D66834">
      <w:pPr>
        <w:spacing w:line="228" w:lineRule="auto"/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Татищевского муниципального </w:t>
      </w:r>
    </w:p>
    <w:p w:rsidR="00D66834" w:rsidRDefault="00D66834" w:rsidP="00D66834">
      <w:pPr>
        <w:spacing w:line="228" w:lineRule="auto"/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 Татищевского района</w:t>
      </w:r>
    </w:p>
    <w:p w:rsidR="00D66834" w:rsidRDefault="00D66834" w:rsidP="00D66834">
      <w:pPr>
        <w:spacing w:line="228" w:lineRule="auto"/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</w:p>
    <w:p w:rsidR="00D66834" w:rsidRDefault="00D66834" w:rsidP="00D66834">
      <w:pPr>
        <w:spacing w:line="228" w:lineRule="auto"/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№</w:t>
      </w:r>
    </w:p>
    <w:p w:rsidR="00D66834" w:rsidRDefault="00D66834" w:rsidP="00D66834">
      <w:pPr>
        <w:spacing w:line="228" w:lineRule="auto"/>
        <w:ind w:left="4678"/>
        <w:jc w:val="center"/>
        <w:rPr>
          <w:bCs/>
          <w:sz w:val="28"/>
          <w:szCs w:val="28"/>
        </w:rPr>
      </w:pPr>
    </w:p>
    <w:p w:rsidR="00D66834" w:rsidRDefault="00D66834" w:rsidP="00D6683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Стоимость услуг, </w:t>
      </w:r>
    </w:p>
    <w:p w:rsidR="00D66834" w:rsidRDefault="00D66834" w:rsidP="00D6683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предоставляемых согласно гарантированному перечню </w:t>
      </w:r>
    </w:p>
    <w:p w:rsidR="00D66834" w:rsidRDefault="00D66834" w:rsidP="00D6683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услуг по погребению, на территории Татищевского </w:t>
      </w:r>
    </w:p>
    <w:p w:rsidR="00D66834" w:rsidRDefault="00D66834" w:rsidP="00D6683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Татищевского муниципального района </w:t>
      </w:r>
    </w:p>
    <w:p w:rsidR="00D66834" w:rsidRDefault="00D66834" w:rsidP="00D6683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Саратовской области</w:t>
      </w:r>
    </w:p>
    <w:p w:rsidR="00D66834" w:rsidRDefault="00D66834" w:rsidP="00D66834">
      <w:pPr>
        <w:jc w:val="both"/>
        <w:rPr>
          <w:sz w:val="28"/>
          <w:szCs w:val="28"/>
        </w:rPr>
      </w:pPr>
    </w:p>
    <w:tbl>
      <w:tblPr>
        <w:tblW w:w="9933" w:type="dxa"/>
        <w:jc w:val="center"/>
        <w:tblLayout w:type="fixed"/>
        <w:tblLook w:val="04A0"/>
      </w:tblPr>
      <w:tblGrid>
        <w:gridCol w:w="658"/>
        <w:gridCol w:w="7646"/>
        <w:gridCol w:w="1629"/>
      </w:tblGrid>
      <w:tr w:rsidR="00D66834" w:rsidTr="00813372">
        <w:trPr>
          <w:trHeight w:val="322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</w:pPr>
            <w:r>
              <w:t>№ п/п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</w:pPr>
            <w:r>
              <w:t>Вид услуги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</w:pPr>
            <w:r>
              <w:t>Стоимость</w:t>
            </w:r>
          </w:p>
          <w:p w:rsidR="00D66834" w:rsidRDefault="00D66834" w:rsidP="00813372">
            <w:pPr>
              <w:jc w:val="center"/>
            </w:pPr>
            <w:r>
              <w:t>(рублей)</w:t>
            </w:r>
          </w:p>
        </w:tc>
      </w:tr>
      <w:tr w:rsidR="00D66834" w:rsidTr="00813372">
        <w:trPr>
          <w:trHeight w:val="322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</w:pPr>
            <w:r>
              <w:t>1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834" w:rsidRDefault="00D66834" w:rsidP="008133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34" w:rsidRDefault="00D66834" w:rsidP="008133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215,13</w:t>
            </w:r>
          </w:p>
        </w:tc>
      </w:tr>
      <w:tr w:rsidR="00D66834" w:rsidTr="00813372">
        <w:trPr>
          <w:trHeight w:val="322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</w:pPr>
            <w:r>
              <w:t>2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834" w:rsidRDefault="00D66834" w:rsidP="008133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34" w:rsidRDefault="00D66834" w:rsidP="008133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2689,38</w:t>
            </w:r>
          </w:p>
        </w:tc>
      </w:tr>
      <w:tr w:rsidR="00D66834" w:rsidTr="00813372">
        <w:trPr>
          <w:trHeight w:val="322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</w:pPr>
            <w:r>
              <w:t>3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834" w:rsidRDefault="00D66834" w:rsidP="008133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Перевозка тела (останков) умершего на кладбище </w:t>
            </w:r>
          </w:p>
          <w:p w:rsidR="00D66834" w:rsidRDefault="00D66834" w:rsidP="008133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 крематорий)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34" w:rsidRDefault="00D66834" w:rsidP="008133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2151,49</w:t>
            </w:r>
          </w:p>
        </w:tc>
      </w:tr>
      <w:tr w:rsidR="00D66834" w:rsidTr="00813372">
        <w:trPr>
          <w:trHeight w:val="322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</w:pPr>
            <w:r>
              <w:t>4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834" w:rsidRDefault="00D66834" w:rsidP="008133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r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34" w:rsidRDefault="00D66834" w:rsidP="008133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4109,37</w:t>
            </w:r>
          </w:p>
        </w:tc>
      </w:tr>
      <w:tr w:rsidR="00D66834" w:rsidTr="00813372">
        <w:trPr>
          <w:trHeight w:val="322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834" w:rsidRDefault="00D66834" w:rsidP="00813372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34" w:rsidRDefault="00D66834" w:rsidP="0081337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9165,37</w:t>
            </w:r>
          </w:p>
        </w:tc>
      </w:tr>
    </w:tbl>
    <w:p w:rsidR="00D66834" w:rsidRDefault="00D66834" w:rsidP="00D66834">
      <w:pPr>
        <w:jc w:val="center"/>
        <w:rPr>
          <w:sz w:val="28"/>
          <w:szCs w:val="28"/>
        </w:rPr>
      </w:pPr>
    </w:p>
    <w:p w:rsidR="00D66834" w:rsidRDefault="00D66834" w:rsidP="00D66834">
      <w:pPr>
        <w:jc w:val="right"/>
        <w:rPr>
          <w:sz w:val="28"/>
          <w:szCs w:val="28"/>
        </w:rPr>
        <w:sectPr w:rsidR="00D66834">
          <w:headerReference w:type="even" r:id="rId6"/>
          <w:headerReference w:type="default" r:id="rId7"/>
          <w:pgSz w:w="11906" w:h="16838"/>
          <w:pgMar w:top="1134" w:right="1134" w:bottom="295" w:left="1134" w:header="709" w:footer="720" w:gutter="0"/>
          <w:cols w:space="720"/>
          <w:titlePg/>
          <w:docGrid w:linePitch="360"/>
        </w:sectPr>
      </w:pPr>
    </w:p>
    <w:tbl>
      <w:tblPr>
        <w:tblW w:w="0" w:type="auto"/>
        <w:tblLook w:val="01E0"/>
      </w:tblPr>
      <w:tblGrid>
        <w:gridCol w:w="10173"/>
      </w:tblGrid>
      <w:tr w:rsidR="00D66834" w:rsidTr="00813372">
        <w:tc>
          <w:tcPr>
            <w:tcW w:w="101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834" w:rsidRDefault="00D66834" w:rsidP="00813372">
            <w:pPr>
              <w:spacing w:line="228" w:lineRule="auto"/>
              <w:ind w:left="4678"/>
              <w:jc w:val="center"/>
              <w:rPr>
                <w:bCs/>
                <w:sz w:val="28"/>
                <w:szCs w:val="28"/>
              </w:rPr>
            </w:pPr>
          </w:p>
          <w:p w:rsidR="00D66834" w:rsidRDefault="00D66834" w:rsidP="00813372">
            <w:pPr>
              <w:spacing w:line="228" w:lineRule="auto"/>
              <w:ind w:left="467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2</w:t>
            </w:r>
          </w:p>
          <w:p w:rsidR="00D66834" w:rsidRDefault="00D66834" w:rsidP="00813372">
            <w:pPr>
              <w:spacing w:line="228" w:lineRule="auto"/>
              <w:ind w:left="467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решению Совета депутатов</w:t>
            </w:r>
          </w:p>
          <w:p w:rsidR="00D66834" w:rsidRDefault="00D66834" w:rsidP="00813372">
            <w:pPr>
              <w:spacing w:line="228" w:lineRule="auto"/>
              <w:ind w:left="467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Татищевского муниципального образования Татищевского района</w:t>
            </w:r>
          </w:p>
          <w:p w:rsidR="00D66834" w:rsidRDefault="00D66834" w:rsidP="00813372">
            <w:pPr>
              <w:spacing w:line="228" w:lineRule="auto"/>
              <w:ind w:left="467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Саратовской области</w:t>
            </w:r>
          </w:p>
          <w:p w:rsidR="00D66834" w:rsidRDefault="00D66834" w:rsidP="00813372">
            <w:pPr>
              <w:spacing w:line="228" w:lineRule="auto"/>
              <w:ind w:left="467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№</w:t>
            </w:r>
          </w:p>
          <w:p w:rsidR="00D66834" w:rsidRDefault="00D66834" w:rsidP="00813372">
            <w:pPr>
              <w:spacing w:line="228" w:lineRule="auto"/>
              <w:ind w:left="4678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66834" w:rsidRDefault="00D66834" w:rsidP="00D66834">
      <w:pPr>
        <w:jc w:val="both"/>
        <w:rPr>
          <w:sz w:val="28"/>
          <w:szCs w:val="28"/>
        </w:rPr>
      </w:pPr>
    </w:p>
    <w:p w:rsidR="00D66834" w:rsidRDefault="00D66834" w:rsidP="00D6683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Стоимость услуг по погребению умерших (погибших), </w:t>
      </w:r>
    </w:p>
    <w:p w:rsidR="00D66834" w:rsidRDefault="00D66834" w:rsidP="00D6683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 имеющих супруга, близких родственников, иных родственников </w:t>
      </w:r>
    </w:p>
    <w:p w:rsidR="00D66834" w:rsidRDefault="00D66834" w:rsidP="00D6683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либо законного представителя умершего, при невозможности осуществить </w:t>
      </w:r>
    </w:p>
    <w:p w:rsidR="00D66834" w:rsidRDefault="00D66834" w:rsidP="00D6683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им погребение, при отсутствии иных лиц, взявших на себя обязанность осуществить погребение, а также умерших, личность которых не </w:t>
      </w:r>
    </w:p>
    <w:p w:rsidR="00D66834" w:rsidRDefault="00D66834" w:rsidP="00D6683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установлена органами внутренних дел, на территории </w:t>
      </w:r>
    </w:p>
    <w:p w:rsidR="00D66834" w:rsidRDefault="00D66834" w:rsidP="00D6683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Татищевского муниципального образования Татищевского муниципального</w:t>
      </w:r>
    </w:p>
    <w:p w:rsidR="00D66834" w:rsidRDefault="00D66834" w:rsidP="00D6683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района Саратовской области</w:t>
      </w:r>
    </w:p>
    <w:p w:rsidR="00D66834" w:rsidRDefault="00D66834" w:rsidP="00D66834">
      <w:pPr>
        <w:jc w:val="both"/>
        <w:rPr>
          <w:sz w:val="28"/>
          <w:szCs w:val="28"/>
        </w:rPr>
      </w:pPr>
    </w:p>
    <w:tbl>
      <w:tblPr>
        <w:tblW w:w="9933" w:type="dxa"/>
        <w:jc w:val="center"/>
        <w:tblLayout w:type="fixed"/>
        <w:tblLook w:val="04A0"/>
      </w:tblPr>
      <w:tblGrid>
        <w:gridCol w:w="658"/>
        <w:gridCol w:w="7646"/>
        <w:gridCol w:w="1629"/>
      </w:tblGrid>
      <w:tr w:rsidR="00D66834" w:rsidTr="00813372">
        <w:trPr>
          <w:trHeight w:val="322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D66834" w:rsidTr="00813372">
        <w:trPr>
          <w:trHeight w:val="322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274,95</w:t>
            </w:r>
          </w:p>
        </w:tc>
      </w:tr>
      <w:tr w:rsidR="00D66834" w:rsidTr="00813372">
        <w:trPr>
          <w:trHeight w:val="322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549,92</w:t>
            </w:r>
          </w:p>
        </w:tc>
      </w:tr>
      <w:tr w:rsidR="00D66834" w:rsidTr="00813372">
        <w:trPr>
          <w:trHeight w:val="322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2108,04</w:t>
            </w:r>
          </w:p>
        </w:tc>
      </w:tr>
      <w:tr w:rsidR="00D66834" w:rsidTr="00813372">
        <w:trPr>
          <w:trHeight w:val="322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умершего на кладбище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2199,68</w:t>
            </w:r>
          </w:p>
        </w:tc>
      </w:tr>
      <w:tr w:rsidR="00D66834" w:rsidTr="00813372">
        <w:trPr>
          <w:trHeight w:val="322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4032,78</w:t>
            </w:r>
          </w:p>
        </w:tc>
      </w:tr>
      <w:tr w:rsidR="00D66834" w:rsidTr="00813372">
        <w:trPr>
          <w:trHeight w:val="322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услуг по погребению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34" w:rsidRDefault="00D66834" w:rsidP="0081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D66834" w:rsidRDefault="00D66834" w:rsidP="00D66834">
      <w:pPr>
        <w:widowControl w:val="0"/>
        <w:jc w:val="center"/>
        <w:rPr>
          <w:sz w:val="20"/>
          <w:szCs w:val="20"/>
        </w:rPr>
      </w:pPr>
    </w:p>
    <w:p w:rsidR="00D66834" w:rsidRDefault="00D66834" w:rsidP="00D66834">
      <w:pPr>
        <w:jc w:val="center"/>
        <w:rPr>
          <w:b/>
          <w:sz w:val="28"/>
          <w:szCs w:val="28"/>
        </w:rPr>
      </w:pPr>
    </w:p>
    <w:p w:rsidR="00D66834" w:rsidRDefault="00D66834" w:rsidP="00D66834">
      <w:pPr>
        <w:jc w:val="center"/>
        <w:rPr>
          <w:b/>
          <w:sz w:val="28"/>
          <w:szCs w:val="28"/>
        </w:rPr>
      </w:pPr>
    </w:p>
    <w:p w:rsidR="0036094A" w:rsidRDefault="0036094A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D66834">
      <w:pPr>
        <w:spacing w:line="228" w:lineRule="auto"/>
        <w:ind w:left="4678"/>
        <w:jc w:val="center"/>
        <w:rPr>
          <w:b/>
          <w:sz w:val="28"/>
          <w:szCs w:val="28"/>
        </w:rPr>
      </w:pPr>
    </w:p>
    <w:p w:rsidR="00805475" w:rsidRDefault="00805475" w:rsidP="0080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05475" w:rsidRDefault="00805475" w:rsidP="00805475">
      <w:pPr>
        <w:jc w:val="center"/>
        <w:rPr>
          <w:b/>
          <w:sz w:val="8"/>
          <w:szCs w:val="8"/>
        </w:rPr>
      </w:pPr>
    </w:p>
    <w:p w:rsidR="00805475" w:rsidRDefault="00805475" w:rsidP="0080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решения Совета депутатов Татищевского муниципального </w:t>
      </w:r>
    </w:p>
    <w:p w:rsidR="00805475" w:rsidRDefault="00805475" w:rsidP="0080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Татищевского района Саратовской области</w:t>
      </w:r>
    </w:p>
    <w:p w:rsidR="00805475" w:rsidRDefault="00805475" w:rsidP="008054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Об утверждении стоимости гарантированного перечня услуг </w:t>
      </w:r>
    </w:p>
    <w:p w:rsidR="00805475" w:rsidRDefault="00805475" w:rsidP="008054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погребение на территории Татищевского муниципального образования </w:t>
      </w:r>
    </w:p>
    <w:p w:rsidR="00805475" w:rsidRDefault="00805475" w:rsidP="0080547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>района Саратовской области</w:t>
      </w:r>
      <w:r>
        <w:rPr>
          <w:b/>
          <w:sz w:val="28"/>
          <w:szCs w:val="28"/>
        </w:rPr>
        <w:t>»</w:t>
      </w:r>
    </w:p>
    <w:p w:rsidR="00805475" w:rsidRDefault="00805475" w:rsidP="00805475">
      <w:pPr>
        <w:jc w:val="both"/>
        <w:rPr>
          <w:b/>
          <w:sz w:val="8"/>
          <w:szCs w:val="8"/>
        </w:rPr>
      </w:pPr>
    </w:p>
    <w:p w:rsidR="00805475" w:rsidRDefault="00805475" w:rsidP="00805475">
      <w:pPr>
        <w:jc w:val="both"/>
      </w:pPr>
      <w:r>
        <w:tab/>
      </w:r>
    </w:p>
    <w:p w:rsidR="00805475" w:rsidRDefault="00805475" w:rsidP="00805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Главой Татищевского муниципального района Саратовской области на рассмотрение Совета депутатов Татищевского муниципального образования Татищевского района Саратовской области внесен проект решения Совета депутатов Татищевского муниципального образования Татищевского района Саратовской области «</w:t>
      </w:r>
      <w:r>
        <w:rPr>
          <w:bCs/>
          <w:sz w:val="28"/>
          <w:szCs w:val="28"/>
        </w:rPr>
        <w:t>Об утверждении стоимости гарантированного перечня услуг на погребение на территории Татищевского муниципального образования Татищевского муниципального района Саратовской области</w:t>
      </w:r>
      <w:r>
        <w:rPr>
          <w:sz w:val="28"/>
          <w:szCs w:val="28"/>
        </w:rPr>
        <w:t>».</w:t>
      </w:r>
    </w:p>
    <w:p w:rsidR="00805475" w:rsidRDefault="00805475" w:rsidP="00805475">
      <w:pPr>
        <w:ind w:firstLine="709"/>
        <w:jc w:val="both"/>
      </w:pPr>
      <w:r>
        <w:rPr>
          <w:sz w:val="28"/>
          <w:szCs w:val="28"/>
        </w:rPr>
        <w:t>Проект решения Совета депутатов Татищевского муниципального образования Татищевского района Саратовской области «</w:t>
      </w:r>
      <w:r>
        <w:rPr>
          <w:bCs/>
          <w:sz w:val="28"/>
          <w:szCs w:val="28"/>
        </w:rPr>
        <w:t>Об утверждении стоимости гарантированного перечня услуг на погребение на территории Татищевского муниципального образования Татищевского муниципального района Саратовской области</w:t>
      </w:r>
      <w:r>
        <w:rPr>
          <w:sz w:val="28"/>
          <w:szCs w:val="28"/>
        </w:rPr>
        <w:t xml:space="preserve">»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деле», на основании постановления Правительства Российской Федерации </w:t>
      </w:r>
      <w:r>
        <w:rPr>
          <w:bCs/>
          <w:sz w:val="28"/>
          <w:szCs w:val="28"/>
        </w:rPr>
        <w:t>от 23.01.2025 № 33 «Об утверждении коэффициента индексации выплат, пособий и компенсаций в 2025 году»</w:t>
      </w:r>
      <w:r>
        <w:rPr>
          <w:sz w:val="28"/>
          <w:szCs w:val="28"/>
        </w:rPr>
        <w:t>, в соответствии с Уставом Татищевского муниципального образования Татищевского района Саратовской области</w:t>
      </w:r>
      <w:r>
        <w:rPr>
          <w:b/>
          <w:sz w:val="28"/>
          <w:szCs w:val="28"/>
        </w:rPr>
        <w:t>.</w:t>
      </w:r>
    </w:p>
    <w:p w:rsidR="00805475" w:rsidRDefault="00805475" w:rsidP="00805475">
      <w:pPr>
        <w:ind w:firstLine="709"/>
        <w:jc w:val="both"/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bCs/>
          <w:sz w:val="28"/>
          <w:szCs w:val="28"/>
        </w:rPr>
        <w:t>от 23.01.2025 № 33 «Об утверждении коэффициента индексации выплат, пособий и компенсаций в 2025 году»</w:t>
      </w:r>
      <w:r>
        <w:rPr>
          <w:sz w:val="28"/>
          <w:szCs w:val="28"/>
        </w:rPr>
        <w:t xml:space="preserve"> предельный размер стоимости услуг, предоставляемых согласно гарантированному перечню услуг по погребению в 2023 году, должен быть проиндексирован на 9,5 % и с 1 февраля 2025 года составлять 9165 руб. 37 коп.</w:t>
      </w:r>
    </w:p>
    <w:p w:rsidR="00805475" w:rsidRDefault="00805475" w:rsidP="00805475">
      <w:pPr>
        <w:ind w:firstLine="709"/>
        <w:jc w:val="both"/>
        <w:rPr>
          <w:b/>
          <w:bCs/>
          <w:i/>
        </w:rPr>
      </w:pPr>
      <w:r>
        <w:rPr>
          <w:sz w:val="28"/>
          <w:szCs w:val="28"/>
        </w:rPr>
        <w:t>Согласно Федерального закона от 12.01.1996 №8-ФЗ «О погребении и похоронном деле» стоимость услуг по погребению определяется органом местного самоуправления по согласованию с министерством строительства и жилищно-коммунального хозяйства.</w:t>
      </w:r>
    </w:p>
    <w:p w:rsidR="00805475" w:rsidRDefault="00805475" w:rsidP="00805475">
      <w:pPr>
        <w:ind w:firstLine="709"/>
        <w:jc w:val="both"/>
        <w:rPr>
          <w:sz w:val="27"/>
          <w:szCs w:val="27"/>
        </w:rPr>
      </w:pPr>
    </w:p>
    <w:p w:rsidR="00805475" w:rsidRDefault="00805475" w:rsidP="00805475">
      <w:pPr>
        <w:ind w:firstLine="709"/>
        <w:jc w:val="both"/>
        <w:rPr>
          <w:sz w:val="27"/>
          <w:szCs w:val="27"/>
        </w:rPr>
      </w:pPr>
    </w:p>
    <w:p w:rsidR="00805475" w:rsidRDefault="00805475" w:rsidP="00805475">
      <w:pPr>
        <w:ind w:firstLine="709"/>
        <w:jc w:val="both"/>
        <w:rPr>
          <w:sz w:val="27"/>
          <w:szCs w:val="27"/>
        </w:rPr>
      </w:pPr>
    </w:p>
    <w:p w:rsidR="00805475" w:rsidRDefault="00805475" w:rsidP="00805475">
      <w:pPr>
        <w:jc w:val="both"/>
        <w:rPr>
          <w:sz w:val="27"/>
          <w:szCs w:val="27"/>
        </w:rPr>
      </w:pPr>
      <w:r>
        <w:rPr>
          <w:sz w:val="27"/>
          <w:szCs w:val="27"/>
        </w:rPr>
        <w:t>И.о.начальника управления финансов</w:t>
      </w:r>
    </w:p>
    <w:p w:rsidR="00805475" w:rsidRDefault="00805475" w:rsidP="0080547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района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В.А.Пимонов</w:t>
      </w:r>
    </w:p>
    <w:p w:rsidR="00805475" w:rsidRDefault="00805475" w:rsidP="00805475">
      <w:pPr>
        <w:jc w:val="center"/>
        <w:rPr>
          <w:b/>
          <w:sz w:val="28"/>
          <w:szCs w:val="28"/>
        </w:rPr>
      </w:pPr>
    </w:p>
    <w:p w:rsidR="00805475" w:rsidRDefault="00805475" w:rsidP="00805475">
      <w:pPr>
        <w:jc w:val="center"/>
        <w:rPr>
          <w:b/>
          <w:sz w:val="28"/>
          <w:szCs w:val="28"/>
        </w:rPr>
      </w:pPr>
    </w:p>
    <w:p w:rsidR="00805475" w:rsidRDefault="00805475" w:rsidP="00805475">
      <w:pPr>
        <w:jc w:val="center"/>
        <w:rPr>
          <w:b/>
          <w:sz w:val="28"/>
          <w:szCs w:val="28"/>
        </w:rPr>
      </w:pPr>
    </w:p>
    <w:p w:rsidR="00805475" w:rsidRDefault="00805475" w:rsidP="00805475">
      <w:pPr>
        <w:jc w:val="center"/>
        <w:rPr>
          <w:b/>
          <w:sz w:val="28"/>
          <w:szCs w:val="28"/>
        </w:rPr>
      </w:pPr>
    </w:p>
    <w:p w:rsidR="00805475" w:rsidRDefault="00805475" w:rsidP="00805475">
      <w:pPr>
        <w:jc w:val="center"/>
        <w:rPr>
          <w:b/>
          <w:bCs/>
          <w:sz w:val="28"/>
          <w:szCs w:val="28"/>
        </w:rPr>
      </w:pPr>
    </w:p>
    <w:p w:rsidR="00805475" w:rsidRDefault="00805475" w:rsidP="008054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</w:t>
      </w:r>
    </w:p>
    <w:p w:rsidR="00805475" w:rsidRDefault="00805475" w:rsidP="00805475">
      <w:pPr>
        <w:jc w:val="center"/>
        <w:rPr>
          <w:sz w:val="28"/>
          <w:szCs w:val="28"/>
        </w:rPr>
      </w:pPr>
    </w:p>
    <w:p w:rsidR="00805475" w:rsidRDefault="00805475" w:rsidP="0080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решения Совета депутатов Татищевского муниципального </w:t>
      </w:r>
    </w:p>
    <w:p w:rsidR="00805475" w:rsidRDefault="00805475" w:rsidP="0080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Татищевского района Саратовской области</w:t>
      </w:r>
    </w:p>
    <w:p w:rsidR="00805475" w:rsidRDefault="00805475" w:rsidP="008054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Об утверждении стоимости гарантированного перечня услуг </w:t>
      </w:r>
    </w:p>
    <w:p w:rsidR="00805475" w:rsidRDefault="00805475" w:rsidP="008054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погребение на территории Татищевского муниципального образования </w:t>
      </w:r>
    </w:p>
    <w:p w:rsidR="00805475" w:rsidRDefault="00805475" w:rsidP="0080547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района Саратовской области</w:t>
      </w:r>
      <w:r>
        <w:rPr>
          <w:b/>
          <w:sz w:val="28"/>
          <w:szCs w:val="28"/>
        </w:rPr>
        <w:t>»</w:t>
      </w:r>
    </w:p>
    <w:p w:rsidR="00805475" w:rsidRDefault="00805475" w:rsidP="00805475">
      <w:pPr>
        <w:jc w:val="center"/>
        <w:rPr>
          <w:b/>
          <w:sz w:val="28"/>
          <w:szCs w:val="28"/>
        </w:rPr>
      </w:pPr>
    </w:p>
    <w:p w:rsidR="00805475" w:rsidRDefault="00805475" w:rsidP="008054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Финансовые затраты для реализации принимаемого решения Совета депутатов Татищевского муниципального образования Татищевского района Саратовской области «</w:t>
      </w:r>
      <w:r>
        <w:rPr>
          <w:bCs/>
          <w:sz w:val="28"/>
          <w:szCs w:val="28"/>
        </w:rPr>
        <w:t>Об утверждении стоимости гарантированного перечня услуг на погребение на территории Татищевского муниципального образования Татищевского муниципального района Саратовской области</w:t>
      </w:r>
      <w:r>
        <w:rPr>
          <w:sz w:val="28"/>
          <w:szCs w:val="28"/>
        </w:rPr>
        <w:t>» не требуется.</w:t>
      </w:r>
    </w:p>
    <w:p w:rsidR="00805475" w:rsidRDefault="00805475" w:rsidP="00805475">
      <w:pPr>
        <w:jc w:val="both"/>
        <w:rPr>
          <w:sz w:val="28"/>
          <w:szCs w:val="28"/>
        </w:rPr>
      </w:pPr>
    </w:p>
    <w:p w:rsidR="00805475" w:rsidRDefault="00805475" w:rsidP="00805475">
      <w:pPr>
        <w:jc w:val="both"/>
        <w:rPr>
          <w:sz w:val="28"/>
          <w:szCs w:val="28"/>
        </w:rPr>
      </w:pPr>
    </w:p>
    <w:p w:rsidR="00805475" w:rsidRDefault="00805475" w:rsidP="00805475">
      <w:pPr>
        <w:jc w:val="both"/>
        <w:rPr>
          <w:sz w:val="27"/>
          <w:szCs w:val="27"/>
        </w:rPr>
      </w:pPr>
      <w:r>
        <w:rPr>
          <w:sz w:val="27"/>
          <w:szCs w:val="27"/>
        </w:rPr>
        <w:t>И.о.начальника управления финансов</w:t>
      </w:r>
    </w:p>
    <w:p w:rsidR="00805475" w:rsidRDefault="00805475" w:rsidP="0080547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района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В.А.Пимонов</w:t>
      </w:r>
    </w:p>
    <w:p w:rsidR="00805475" w:rsidRDefault="00805475" w:rsidP="00805475">
      <w:pPr>
        <w:jc w:val="both"/>
        <w:rPr>
          <w:sz w:val="28"/>
          <w:szCs w:val="28"/>
        </w:rPr>
      </w:pPr>
    </w:p>
    <w:p w:rsidR="00805475" w:rsidRDefault="00805475" w:rsidP="00805475">
      <w:pPr>
        <w:jc w:val="both"/>
        <w:rPr>
          <w:sz w:val="28"/>
          <w:szCs w:val="28"/>
        </w:rPr>
      </w:pPr>
    </w:p>
    <w:p w:rsidR="00805475" w:rsidRDefault="00805475" w:rsidP="00805475">
      <w:pPr>
        <w:jc w:val="both"/>
        <w:rPr>
          <w:sz w:val="28"/>
          <w:szCs w:val="28"/>
        </w:rPr>
      </w:pPr>
    </w:p>
    <w:p w:rsidR="00805475" w:rsidRDefault="00805475" w:rsidP="00805475">
      <w:pPr>
        <w:jc w:val="both"/>
        <w:rPr>
          <w:sz w:val="28"/>
          <w:szCs w:val="28"/>
        </w:rPr>
      </w:pPr>
    </w:p>
    <w:p w:rsidR="00805475" w:rsidRDefault="00805475" w:rsidP="00805475">
      <w:pPr>
        <w:jc w:val="both"/>
        <w:rPr>
          <w:sz w:val="28"/>
          <w:szCs w:val="28"/>
        </w:rPr>
      </w:pPr>
    </w:p>
    <w:p w:rsidR="00805475" w:rsidRDefault="00805475" w:rsidP="00805475">
      <w:pPr>
        <w:jc w:val="both"/>
        <w:rPr>
          <w:sz w:val="28"/>
          <w:szCs w:val="28"/>
        </w:rPr>
      </w:pPr>
    </w:p>
    <w:p w:rsidR="00805475" w:rsidRDefault="00805475" w:rsidP="00805475">
      <w:pPr>
        <w:jc w:val="both"/>
        <w:rPr>
          <w:sz w:val="28"/>
          <w:szCs w:val="28"/>
        </w:rPr>
      </w:pPr>
    </w:p>
    <w:p w:rsidR="00805475" w:rsidRDefault="00805475" w:rsidP="00805475">
      <w:pPr>
        <w:jc w:val="both"/>
        <w:rPr>
          <w:sz w:val="28"/>
          <w:szCs w:val="28"/>
        </w:rPr>
      </w:pPr>
    </w:p>
    <w:p w:rsidR="00805475" w:rsidRDefault="00805475" w:rsidP="00805475">
      <w:pPr>
        <w:jc w:val="both"/>
        <w:rPr>
          <w:sz w:val="28"/>
          <w:szCs w:val="28"/>
        </w:rPr>
      </w:pPr>
    </w:p>
    <w:p w:rsidR="00805475" w:rsidRDefault="00805475" w:rsidP="00805475">
      <w:pPr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2780"/>
        </w:tabs>
        <w:jc w:val="both"/>
        <w:rPr>
          <w:sz w:val="28"/>
          <w:szCs w:val="28"/>
        </w:rPr>
      </w:pPr>
    </w:p>
    <w:p w:rsidR="00805475" w:rsidRDefault="00805475" w:rsidP="00805475">
      <w:pPr>
        <w:tabs>
          <w:tab w:val="left" w:pos="3720"/>
          <w:tab w:val="left" w:pos="3920"/>
        </w:tabs>
        <w:jc w:val="center"/>
        <w:rPr>
          <w:b/>
          <w:bCs/>
          <w:sz w:val="28"/>
          <w:szCs w:val="28"/>
        </w:rPr>
      </w:pPr>
    </w:p>
    <w:p w:rsidR="00805475" w:rsidRDefault="00805475" w:rsidP="00805475">
      <w:pPr>
        <w:tabs>
          <w:tab w:val="left" w:pos="3720"/>
          <w:tab w:val="left" w:pos="3920"/>
        </w:tabs>
        <w:jc w:val="center"/>
        <w:rPr>
          <w:b/>
          <w:bCs/>
          <w:sz w:val="28"/>
          <w:szCs w:val="28"/>
        </w:rPr>
      </w:pPr>
    </w:p>
    <w:p w:rsidR="00805475" w:rsidRDefault="00805475" w:rsidP="00805475">
      <w:pPr>
        <w:tabs>
          <w:tab w:val="left" w:pos="3720"/>
          <w:tab w:val="left" w:pos="392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</w:t>
      </w:r>
    </w:p>
    <w:p w:rsidR="00805475" w:rsidRDefault="00805475" w:rsidP="00805475">
      <w:pPr>
        <w:jc w:val="both"/>
        <w:rPr>
          <w:sz w:val="28"/>
          <w:szCs w:val="28"/>
        </w:rPr>
      </w:pPr>
    </w:p>
    <w:p w:rsidR="00805475" w:rsidRDefault="00805475" w:rsidP="0080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правовых актов, подлежащих признанию утративших </w:t>
      </w:r>
    </w:p>
    <w:p w:rsidR="00805475" w:rsidRDefault="00805475" w:rsidP="0080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силу, приостановлению, изменению, дополнению или принятию в случае принятия решения Совета депутатов Татищевского муниципального </w:t>
      </w:r>
    </w:p>
    <w:p w:rsidR="00805475" w:rsidRDefault="00805475" w:rsidP="00805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Татищевского района Саратовской области</w:t>
      </w:r>
    </w:p>
    <w:p w:rsidR="00805475" w:rsidRDefault="00805475" w:rsidP="0080547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Об утверждении стоимости гарантированного перечня услуг </w:t>
      </w:r>
    </w:p>
    <w:p w:rsidR="00805475" w:rsidRDefault="00805475" w:rsidP="008054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погребение на территории Татищевского муниципального образования </w:t>
      </w:r>
    </w:p>
    <w:p w:rsidR="00805475" w:rsidRDefault="00805475" w:rsidP="0080547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района Саратовской области</w:t>
      </w:r>
      <w:r>
        <w:rPr>
          <w:b/>
          <w:sz w:val="28"/>
          <w:szCs w:val="28"/>
        </w:rPr>
        <w:t>»</w:t>
      </w:r>
    </w:p>
    <w:p w:rsidR="00805475" w:rsidRDefault="00805475" w:rsidP="00805475">
      <w:pPr>
        <w:jc w:val="both"/>
        <w:rPr>
          <w:b/>
          <w:sz w:val="28"/>
          <w:szCs w:val="28"/>
        </w:rPr>
      </w:pPr>
    </w:p>
    <w:p w:rsidR="00805475" w:rsidRDefault="00805475" w:rsidP="00805475">
      <w:pPr>
        <w:ind w:firstLine="567"/>
        <w:jc w:val="both"/>
      </w:pPr>
      <w:r>
        <w:rPr>
          <w:sz w:val="28"/>
          <w:szCs w:val="28"/>
        </w:rPr>
        <w:tab/>
        <w:t>В случае принятия проекта решения Совета депутатов Татищевского муниципального образования Татищевского района Саратовской области «</w:t>
      </w:r>
      <w:r>
        <w:rPr>
          <w:bCs/>
          <w:sz w:val="28"/>
          <w:szCs w:val="28"/>
        </w:rPr>
        <w:t>Об утверждении стоимости гарантированного перечня услуг на погребение на территории Татищевского муниципального образования Татищевского муниципального района Саратовской области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требуется признать </w:t>
      </w:r>
      <w:r>
        <w:rPr>
          <w:bCs/>
          <w:sz w:val="28"/>
          <w:szCs w:val="28"/>
        </w:rPr>
        <w:t xml:space="preserve">утратившим силу </w:t>
      </w:r>
      <w:r>
        <w:rPr>
          <w:sz w:val="28"/>
          <w:szCs w:val="28"/>
        </w:rPr>
        <w:t>решение Совета депутатов Татищевского муниципального образования Татищевского района Саратовской области от 28.02.2024 № 5/29-5 «Об утверждении стоимости гарантированного перечня услуг на погребение на территории Татищевского муниципального образования Татищевского района Саратовской области».</w:t>
      </w:r>
    </w:p>
    <w:p w:rsidR="00805475" w:rsidRDefault="00805475" w:rsidP="00805475">
      <w:pPr>
        <w:jc w:val="both"/>
        <w:rPr>
          <w:sz w:val="28"/>
          <w:szCs w:val="28"/>
        </w:rPr>
      </w:pPr>
    </w:p>
    <w:p w:rsidR="00805475" w:rsidRDefault="00805475" w:rsidP="00805475">
      <w:pPr>
        <w:jc w:val="both"/>
      </w:pPr>
    </w:p>
    <w:p w:rsidR="00805475" w:rsidRDefault="00805475" w:rsidP="00805475">
      <w:pPr>
        <w:jc w:val="both"/>
        <w:rPr>
          <w:sz w:val="27"/>
          <w:szCs w:val="27"/>
        </w:rPr>
      </w:pPr>
      <w:r>
        <w:rPr>
          <w:sz w:val="27"/>
          <w:szCs w:val="27"/>
        </w:rPr>
        <w:t>И.о.начальника управления финансов</w:t>
      </w:r>
    </w:p>
    <w:p w:rsidR="00805475" w:rsidRDefault="00805475" w:rsidP="0080547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района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В.А.Пимонов</w:t>
      </w:r>
    </w:p>
    <w:p w:rsidR="00805475" w:rsidRDefault="00805475" w:rsidP="00805475">
      <w:pPr>
        <w:spacing w:line="228" w:lineRule="auto"/>
        <w:jc w:val="center"/>
        <w:rPr>
          <w:b/>
          <w:sz w:val="28"/>
          <w:szCs w:val="28"/>
        </w:rPr>
      </w:pPr>
    </w:p>
    <w:sectPr w:rsidR="00805475" w:rsidSect="00D66834">
      <w:headerReference w:type="even" r:id="rId8"/>
      <w:headerReference w:type="default" r:id="rId9"/>
      <w:pgSz w:w="11906" w:h="16838"/>
      <w:pgMar w:top="284" w:right="566" w:bottom="42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F65" w:rsidRDefault="004C7F65">
      <w:r>
        <w:separator/>
      </w:r>
    </w:p>
  </w:endnote>
  <w:endnote w:type="continuationSeparator" w:id="1">
    <w:p w:rsidR="004C7F65" w:rsidRDefault="004C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F65" w:rsidRDefault="004C7F65">
      <w:r>
        <w:separator/>
      </w:r>
    </w:p>
  </w:footnote>
  <w:footnote w:type="continuationSeparator" w:id="1">
    <w:p w:rsidR="004C7F65" w:rsidRDefault="004C7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834" w:rsidRDefault="00D66834">
    <w:pPr>
      <w:pStyle w:val="af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66834" w:rsidRDefault="00D66834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834" w:rsidRDefault="00D66834">
    <w:pPr>
      <w:pStyle w:val="af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5D20EF">
      <w:rPr>
        <w:noProof/>
        <w:sz w:val="28"/>
      </w:rPr>
      <w:t>2</w:t>
    </w:r>
    <w:r>
      <w:rPr>
        <w:sz w:val="28"/>
      </w:rPr>
      <w:fldChar w:fldCharType="end"/>
    </w:r>
  </w:p>
  <w:p w:rsidR="00D66834" w:rsidRDefault="00D66834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4A" w:rsidRDefault="0036094A">
    <w:pPr>
      <w:pStyle w:val="header-firstHeaderPort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C7F6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6094A" w:rsidRDefault="0036094A">
    <w:pPr>
      <w:pStyle w:val="header-firstHeaderPor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4A" w:rsidRDefault="0036094A">
    <w:pPr>
      <w:pStyle w:val="header-firstHeaderPort"/>
      <w:framePr w:wrap="around" w:vAnchor="text" w:hAnchor="page" w:x="6586" w:y="-3"/>
      <w:rPr>
        <w:rStyle w:val="af5"/>
        <w:sz w:val="20"/>
        <w:szCs w:val="20"/>
      </w:rPr>
    </w:pPr>
    <w:r>
      <w:rPr>
        <w:rStyle w:val="af5"/>
        <w:sz w:val="20"/>
        <w:szCs w:val="20"/>
      </w:rPr>
      <w:fldChar w:fldCharType="begin"/>
    </w:r>
    <w:r w:rsidR="004C7F65">
      <w:rPr>
        <w:rStyle w:val="af5"/>
        <w:sz w:val="20"/>
        <w:szCs w:val="20"/>
      </w:rPr>
      <w:instrText xml:space="preserve">PAGE  </w:instrText>
    </w:r>
    <w:r>
      <w:rPr>
        <w:rStyle w:val="af5"/>
        <w:sz w:val="20"/>
        <w:szCs w:val="20"/>
      </w:rPr>
      <w:fldChar w:fldCharType="separate"/>
    </w:r>
    <w:r w:rsidR="005D20EF">
      <w:rPr>
        <w:rStyle w:val="af5"/>
        <w:noProof/>
        <w:sz w:val="20"/>
        <w:szCs w:val="20"/>
      </w:rPr>
      <w:t>4</w:t>
    </w:r>
    <w:r>
      <w:rPr>
        <w:rStyle w:val="af5"/>
        <w:sz w:val="20"/>
        <w:szCs w:val="20"/>
      </w:rPr>
      <w:fldChar w:fldCharType="end"/>
    </w:r>
  </w:p>
  <w:p w:rsidR="0036094A" w:rsidRDefault="0036094A">
    <w:pPr>
      <w:pStyle w:val="header-firstHeaderPort"/>
    </w:pPr>
  </w:p>
  <w:p w:rsidR="0036094A" w:rsidRDefault="0036094A">
    <w:pPr>
      <w:pStyle w:val="header-firstHeaderPort"/>
    </w:pPr>
  </w:p>
  <w:p w:rsidR="0036094A" w:rsidRDefault="0036094A">
    <w:pPr>
      <w:pStyle w:val="header-firstHeaderPor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94A"/>
    <w:rsid w:val="0036094A"/>
    <w:rsid w:val="004C7F65"/>
    <w:rsid w:val="005D20EF"/>
    <w:rsid w:val="00805475"/>
    <w:rsid w:val="00CF2EEF"/>
    <w:rsid w:val="00D6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4A"/>
    <w:rPr>
      <w:sz w:val="24"/>
      <w:szCs w:val="24"/>
      <w:lang w:eastAsia="ar-SA"/>
    </w:rPr>
  </w:style>
  <w:style w:type="paragraph" w:styleId="1">
    <w:name w:val="heading 1"/>
    <w:basedOn w:val="a"/>
    <w:qFormat/>
    <w:rsid w:val="0036094A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609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609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609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609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609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609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609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609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6094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609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6094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609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609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609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609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609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609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6094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6094A"/>
    <w:pPr>
      <w:ind w:left="720"/>
      <w:contextualSpacing/>
    </w:pPr>
  </w:style>
  <w:style w:type="paragraph" w:styleId="a4">
    <w:name w:val="No Spacing"/>
    <w:uiPriority w:val="1"/>
    <w:qFormat/>
    <w:rsid w:val="0036094A"/>
  </w:style>
  <w:style w:type="paragraph" w:styleId="a5">
    <w:name w:val="Title"/>
    <w:basedOn w:val="a"/>
    <w:next w:val="a"/>
    <w:link w:val="a6"/>
    <w:uiPriority w:val="10"/>
    <w:qFormat/>
    <w:rsid w:val="0036094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6094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6094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609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609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6094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609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6094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6094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6094A"/>
  </w:style>
  <w:style w:type="paragraph" w:customStyle="1" w:styleId="Footer">
    <w:name w:val="Footer"/>
    <w:basedOn w:val="a"/>
    <w:link w:val="CaptionChar"/>
    <w:uiPriority w:val="99"/>
    <w:unhideWhenUsed/>
    <w:rsid w:val="0036094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609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6094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6094A"/>
  </w:style>
  <w:style w:type="table" w:styleId="ab">
    <w:name w:val="Table Grid"/>
    <w:basedOn w:val="a1"/>
    <w:rsid w:val="003609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609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609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6094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6094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6094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6094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6094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6094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609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36094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6094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6094A"/>
    <w:rPr>
      <w:sz w:val="18"/>
    </w:rPr>
  </w:style>
  <w:style w:type="character" w:styleId="af">
    <w:name w:val="footnote reference"/>
    <w:uiPriority w:val="99"/>
    <w:unhideWhenUsed/>
    <w:rsid w:val="0036094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6094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6094A"/>
    <w:rPr>
      <w:sz w:val="20"/>
    </w:rPr>
  </w:style>
  <w:style w:type="character" w:styleId="af2">
    <w:name w:val="endnote reference"/>
    <w:uiPriority w:val="99"/>
    <w:semiHidden/>
    <w:unhideWhenUsed/>
    <w:rsid w:val="0036094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6094A"/>
    <w:pPr>
      <w:spacing w:after="57"/>
    </w:pPr>
  </w:style>
  <w:style w:type="paragraph" w:styleId="21">
    <w:name w:val="toc 2"/>
    <w:basedOn w:val="a"/>
    <w:next w:val="a"/>
    <w:uiPriority w:val="39"/>
    <w:unhideWhenUsed/>
    <w:rsid w:val="003609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609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609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609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609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609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609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6094A"/>
    <w:pPr>
      <w:spacing w:after="57"/>
      <w:ind w:left="2268"/>
    </w:pPr>
  </w:style>
  <w:style w:type="paragraph" w:styleId="af3">
    <w:name w:val="TOC Heading"/>
    <w:uiPriority w:val="39"/>
    <w:unhideWhenUsed/>
    <w:rsid w:val="0036094A"/>
  </w:style>
  <w:style w:type="paragraph" w:styleId="af4">
    <w:name w:val="table of figures"/>
    <w:basedOn w:val="a"/>
    <w:next w:val="a"/>
    <w:uiPriority w:val="99"/>
    <w:unhideWhenUsed/>
    <w:rsid w:val="0036094A"/>
  </w:style>
  <w:style w:type="character" w:styleId="af5">
    <w:name w:val="page number"/>
    <w:basedOn w:val="a0"/>
    <w:rsid w:val="0036094A"/>
  </w:style>
  <w:style w:type="paragraph" w:customStyle="1" w:styleId="header-firstHeaderPort">
    <w:name w:val="Верхний колонтитул;ВерхКолонтитул;??????? ??????????;header-first;HeaderPort"/>
    <w:basedOn w:val="a"/>
    <w:link w:val="22header-first2HeaderPort"/>
    <w:uiPriority w:val="99"/>
    <w:rsid w:val="0036094A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rsid w:val="0036094A"/>
    <w:pPr>
      <w:suppressLineNumbers/>
    </w:pPr>
  </w:style>
  <w:style w:type="paragraph" w:customStyle="1" w:styleId="11">
    <w:name w:val="Знак Знак Знак1 Знак"/>
    <w:basedOn w:val="a"/>
    <w:rsid w:val="003609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er"/>
    <w:basedOn w:val="a"/>
    <w:link w:val="af8"/>
    <w:rsid w:val="0036094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36094A"/>
    <w:rPr>
      <w:sz w:val="24"/>
      <w:szCs w:val="24"/>
      <w:lang w:eastAsia="ar-SA"/>
    </w:rPr>
  </w:style>
  <w:style w:type="character" w:customStyle="1" w:styleId="22header-first2HeaderPort">
    <w:name w:val="Верхний колонтитул Знак;ВерхКолонтитул Знак2;??????? ?????????? Знак2;header-first Знак2;HeaderPort Знак"/>
    <w:basedOn w:val="a0"/>
    <w:link w:val="header-firstHeaderPort"/>
    <w:uiPriority w:val="99"/>
    <w:rsid w:val="0036094A"/>
    <w:rPr>
      <w:sz w:val="24"/>
      <w:szCs w:val="24"/>
      <w:lang w:eastAsia="ar-SA"/>
    </w:rPr>
  </w:style>
  <w:style w:type="paragraph" w:customStyle="1" w:styleId="Heading">
    <w:name w:val="Heading"/>
    <w:rsid w:val="0036094A"/>
    <w:rPr>
      <w:rFonts w:ascii="Arial" w:hAnsi="Arial" w:cs="Arial"/>
      <w:b/>
      <w:bCs/>
      <w:sz w:val="22"/>
      <w:szCs w:val="22"/>
      <w:lang w:eastAsia="ru-RU"/>
    </w:rPr>
  </w:style>
  <w:style w:type="paragraph" w:customStyle="1" w:styleId="12">
    <w:name w:val="Обычный1"/>
    <w:qFormat/>
    <w:rsid w:val="0036094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708"/>
      </w:tabs>
      <w:spacing w:line="100" w:lineRule="atLeast"/>
    </w:pPr>
    <w:rPr>
      <w:sz w:val="24"/>
      <w:szCs w:val="24"/>
      <w:lang w:eastAsia="ru-RU"/>
    </w:rPr>
  </w:style>
  <w:style w:type="paragraph" w:styleId="af9">
    <w:name w:val="header"/>
    <w:aliases w:val="ВерхКолонтитул,??????? ??????????,header-first,HeaderPort"/>
    <w:basedOn w:val="a"/>
    <w:link w:val="afa"/>
    <w:uiPriority w:val="99"/>
    <w:unhideWhenUsed/>
    <w:rsid w:val="00D66834"/>
    <w:pPr>
      <w:tabs>
        <w:tab w:val="center" w:pos="7143"/>
        <w:tab w:val="right" w:pos="14287"/>
      </w:tabs>
    </w:pPr>
  </w:style>
  <w:style w:type="character" w:customStyle="1" w:styleId="afa">
    <w:name w:val="Верхний колонтитул Знак"/>
    <w:aliases w:val="ВерхКолонтитул Знак,??????? ?????????? Знак,header-first Знак,HeaderPort Знак"/>
    <w:basedOn w:val="a0"/>
    <w:link w:val="af9"/>
    <w:uiPriority w:val="99"/>
    <w:rsid w:val="00D6683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Татищевского МР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PronnikovaOA</dc:creator>
  <cp:lastModifiedBy>Рогачева</cp:lastModifiedBy>
  <cp:revision>4</cp:revision>
  <dcterms:created xsi:type="dcterms:W3CDTF">2025-02-11T07:00:00Z</dcterms:created>
  <dcterms:modified xsi:type="dcterms:W3CDTF">2025-02-11T07:02:00Z</dcterms:modified>
  <cp:version>786432</cp:version>
</cp:coreProperties>
</file>