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60" w:rsidRPr="00D42D60" w:rsidRDefault="00D42D60" w:rsidP="00D42D6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СОБРАНИЕ</w:t>
      </w:r>
    </w:p>
    <w:p w:rsidR="00D42D60" w:rsidRPr="00D42D60" w:rsidRDefault="00D42D60" w:rsidP="00D42D6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ТАТИЩЕВСКОГО МУНИЦИПАЛЬНОГО РАЙОНА</w:t>
      </w:r>
    </w:p>
    <w:p w:rsidR="00D42D60" w:rsidRPr="00D42D60" w:rsidRDefault="00D42D60" w:rsidP="00D42D6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САРАТОВСКОЙ ОБЛАСТИ</w:t>
      </w:r>
    </w:p>
    <w:p w:rsidR="00D42D60" w:rsidRPr="00D42D60" w:rsidRDefault="00D42D60" w:rsidP="00D42D6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</w:p>
    <w:p w:rsidR="00D42D60" w:rsidRPr="00D42D60" w:rsidRDefault="00D42D60" w:rsidP="00D42D6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  <w:lang w:eastAsia="ru-RU"/>
        </w:rPr>
        <w:t>РЕШЕНИЕ</w:t>
      </w:r>
    </w:p>
    <w:p w:rsidR="00D42D60" w:rsidRPr="00D42D60" w:rsidRDefault="00D42D60" w:rsidP="00D42D6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12.12.2023                                                                                               № 3/18</w:t>
      </w:r>
    </w:p>
    <w:p w:rsidR="00D42D60" w:rsidRPr="00D42D60" w:rsidRDefault="00D42D60" w:rsidP="00D42D6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р.п.Татищево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2D60" w:rsidRPr="00D42D60" w:rsidTr="00D42D60">
        <w:trPr>
          <w:trHeight w:val="493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60" w:rsidRPr="00D42D60" w:rsidRDefault="00D42D60" w:rsidP="00D42D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4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муниципальном бюджете </w:t>
            </w:r>
            <w:proofErr w:type="spellStart"/>
            <w:r w:rsidRPr="00D4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Татищевского</w:t>
            </w:r>
            <w:proofErr w:type="spellEnd"/>
          </w:p>
          <w:p w:rsidR="00D42D60" w:rsidRPr="00D42D60" w:rsidRDefault="00D42D60" w:rsidP="00D42D60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4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Саратовской области на 2024 год</w:t>
            </w:r>
          </w:p>
          <w:p w:rsidR="00D42D60" w:rsidRPr="00D42D60" w:rsidRDefault="00D42D60" w:rsidP="00D42D60">
            <w:pPr>
              <w:spacing w:after="0" w:line="240" w:lineRule="auto"/>
              <w:ind w:left="-7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4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2025 и 2026 годов</w:t>
            </w:r>
          </w:p>
        </w:tc>
      </w:tr>
    </w:tbl>
    <w:p w:rsidR="00D42D60" w:rsidRPr="00D42D60" w:rsidRDefault="00D42D60" w:rsidP="00D42D6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области, решения муниципального Собрания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 от 17.12.2019 № 16/78 «Об утверждении Положения о бюджетном процессе в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Татищевском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 Саратовской области» (с изменениями от 21.04.2020 № 21/88, от 18.11.2020 № 29/120, от 17.11.2021 № 47/182, от 15.12.2021 № 49/195) муниципальное Собрание р е ш и л о: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основные характеристики муниципального бюджета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 на 2024 год: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общий объем доходов в сумме 692809,7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общий объем расходов в сумме 712675,2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дефицит в сумме 19865,5 тыс. рублей.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основные характеристики муниципального бюджета на 2025 год и на 2026 год: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общий объем доходов муниципального бюджета на 2025 год в сумме 584646,1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2026 год в сумме 554247,1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общий объем расходов муниципального бюджета на 2025 год в сумме 584646,1 тыс. рублей, в том числе условно утвержденные расходы в сумме 6616,7 тыс. рублей, и на 2026 год в сумме </w:t>
      </w:r>
      <w:proofErr w:type="gram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554247,тыс.рублей</w:t>
      </w:r>
      <w:proofErr w:type="gram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условно утвержденные расходы в сумме 10978,3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дефицит на 2025 год в сумме 0 рублей и на 2026 год в сумме 0 рублей.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Утвердить безвозмездные поступления в муниципальный бюджет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 на 2024 год и на плановый период 2025 и 2026 годов согласно </w:t>
      </w:r>
      <w:hyperlink r:id="rId4" w:history="1">
        <w:r w:rsidRPr="00D42D60">
          <w:rPr>
            <w:rFonts w:ascii="Times New Roman" w:eastAsia="Times New Roman" w:hAnsi="Times New Roman" w:cs="Times New Roman"/>
            <w:b/>
            <w:bCs/>
            <w:color w:val="090909"/>
            <w:sz w:val="24"/>
            <w:szCs w:val="24"/>
            <w:lang w:eastAsia="ru-RU"/>
          </w:rPr>
          <w:t>приложению № 1</w:t>
        </w:r>
        <w:r w:rsidRPr="00D42D60">
          <w:rPr>
            <w:rFonts w:ascii="Times New Roman" w:eastAsia="Times New Roman" w:hAnsi="Times New Roman" w:cs="Times New Roman"/>
            <w:color w:val="090909"/>
            <w:sz w:val="24"/>
            <w:szCs w:val="24"/>
            <w:lang w:eastAsia="ru-RU"/>
          </w:rPr>
          <w:t>.</w:t>
        </w:r>
      </w:hyperlink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Утвердить нормативы распределения доходов в муниципальный бюджет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 согласно </w:t>
      </w:r>
      <w:hyperlink r:id="rId5" w:history="1">
        <w:r w:rsidRPr="00D42D60">
          <w:rPr>
            <w:rFonts w:ascii="Times New Roman" w:eastAsia="Times New Roman" w:hAnsi="Times New Roman" w:cs="Times New Roman"/>
            <w:b/>
            <w:bCs/>
            <w:color w:val="090909"/>
            <w:sz w:val="24"/>
            <w:szCs w:val="24"/>
            <w:lang w:eastAsia="ru-RU"/>
          </w:rPr>
          <w:t>приложению № 2</w:t>
        </w:r>
      </w:hyperlink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Утвердить ведомственную структуру расходов муниципального бюджета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 на 2024 год и на плановый период 2025 и 2026 годов согласно </w:t>
      </w:r>
      <w:hyperlink r:id="rId6" w:history="1">
        <w:r w:rsidRPr="00D42D60">
          <w:rPr>
            <w:rFonts w:ascii="Times New Roman" w:eastAsia="Times New Roman" w:hAnsi="Times New Roman" w:cs="Times New Roman"/>
            <w:b/>
            <w:bCs/>
            <w:color w:val="090909"/>
            <w:sz w:val="24"/>
            <w:szCs w:val="24"/>
            <w:lang w:eastAsia="ru-RU"/>
          </w:rPr>
          <w:t>приложению № 3</w:t>
        </w:r>
      </w:hyperlink>
      <w:r w:rsidRPr="00D4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муниципального бюджета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 на 2024 год и на плановый период 2025 и 2026 годов согласно </w:t>
      </w:r>
      <w:hyperlink r:id="rId7" w:history="1">
        <w:r w:rsidRPr="00D42D60">
          <w:rPr>
            <w:rFonts w:ascii="Times New Roman" w:eastAsia="Times New Roman" w:hAnsi="Times New Roman" w:cs="Times New Roman"/>
            <w:b/>
            <w:bCs/>
            <w:color w:val="090909"/>
            <w:sz w:val="24"/>
            <w:szCs w:val="24"/>
            <w:lang w:eastAsia="ru-RU"/>
          </w:rPr>
          <w:t>приложению № 4</w:t>
        </w:r>
      </w:hyperlink>
      <w:r w:rsidRPr="00D4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муниципального бюджета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 на 2024 год и на плановый период 2025 и 2026 годов согласно </w:t>
      </w:r>
      <w:hyperlink r:id="rId8" w:history="1">
        <w:r w:rsidRPr="00D42D60">
          <w:rPr>
            <w:rFonts w:ascii="Times New Roman" w:eastAsia="Times New Roman" w:hAnsi="Times New Roman" w:cs="Times New Roman"/>
            <w:b/>
            <w:bCs/>
            <w:color w:val="090909"/>
            <w:sz w:val="24"/>
            <w:szCs w:val="24"/>
            <w:lang w:eastAsia="ru-RU"/>
          </w:rPr>
          <w:t>приложению № 5</w:t>
        </w:r>
      </w:hyperlink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Утвердить общий объем бюджетных ассигнований на исполнение публичных нормативных обязательств: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 в сумме 1360,0 тыс. рублей;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 в сумме 1036,0 тыс. рублей;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2026 год в сумме 936,0 тыс. рублей.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Утвердить объем бюджетных ассигнований дорожного фонда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области: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 в сумме 51336,9 тыс. рублей;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 в сумме 51474,4 тыс. рублей;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2026 год в сумме 55084,6 тыс. рублей.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Утвердить распределение межбюджетных трансфертов из муниципального бюджета местным бюджетам по видам и муниципальным образованиям, входящим в состав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области, на 2024 год и на плановый период 2025 и 2026 годов согласно </w:t>
      </w:r>
      <w:hyperlink r:id="rId9" w:history="1">
        <w:r w:rsidRPr="00D42D60">
          <w:rPr>
            <w:rFonts w:ascii="Times New Roman" w:eastAsia="Times New Roman" w:hAnsi="Times New Roman" w:cs="Times New Roman"/>
            <w:b/>
            <w:bCs/>
            <w:color w:val="090909"/>
            <w:sz w:val="24"/>
            <w:szCs w:val="24"/>
            <w:lang w:eastAsia="ru-RU"/>
          </w:rPr>
          <w:t>приложению №6</w:t>
        </w:r>
        <w:r w:rsidRPr="00D42D60">
          <w:rPr>
            <w:rFonts w:ascii="Times New Roman" w:eastAsia="Times New Roman" w:hAnsi="Times New Roman" w:cs="Times New Roman"/>
            <w:color w:val="090909"/>
            <w:sz w:val="24"/>
            <w:szCs w:val="24"/>
            <w:lang w:eastAsia="ru-RU"/>
          </w:rPr>
          <w:t>.</w:t>
        </w:r>
      </w:hyperlink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Установить критерий выравнивания расчетной бюджетной обеспеченности поселений на 2024 год в размере 0,85, и на плановый период 2025 года - 0,8 и 2026 года - 0,9.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Утвердить источники финансирования дефицита муниципального бюджета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 на 2024 год и на плановый период 2025 и 2026 годов согласно </w:t>
      </w:r>
      <w:hyperlink r:id="rId10" w:history="1">
        <w:r w:rsidRPr="00D42D60">
          <w:rPr>
            <w:rFonts w:ascii="Times New Roman" w:eastAsia="Times New Roman" w:hAnsi="Times New Roman" w:cs="Times New Roman"/>
            <w:b/>
            <w:bCs/>
            <w:color w:val="090909"/>
            <w:sz w:val="24"/>
            <w:szCs w:val="24"/>
            <w:lang w:eastAsia="ru-RU"/>
          </w:rPr>
          <w:t>приложению № 7</w:t>
        </w:r>
      </w:hyperlink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Утвердить программу муниципальных заимствований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 на 2024 год и на плановый период 2025 и 2026 годов согласно </w:t>
      </w:r>
      <w:hyperlink r:id="rId11" w:history="1">
        <w:r w:rsidRPr="00D42D60">
          <w:rPr>
            <w:rFonts w:ascii="Times New Roman" w:eastAsia="Times New Roman" w:hAnsi="Times New Roman" w:cs="Times New Roman"/>
            <w:b/>
            <w:bCs/>
            <w:color w:val="090909"/>
            <w:sz w:val="24"/>
            <w:szCs w:val="24"/>
            <w:lang w:eastAsia="ru-RU"/>
          </w:rPr>
          <w:t>приложению № 8</w:t>
        </w:r>
      </w:hyperlink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Установить верхний предел муниципального долга: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1 января 2025 года в сумме 164665,5 тыс. рублей, в том числе верхний предел долга по муниципальным гарантиям района в сумме 0,0 тыс. рублей;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1 января 2026 года в сумме 163352,6,0 тыс. рублей, в том числе верхний предел долга по муниципальным гарантиям района в сумме 0,0 тыс. рублей;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1 января 2027 года в сумме 163352,6 тыс. рублей, в том числе верхний предел долга по муниципальным гарантиям района в сумме 0,0 тыс. рублей.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Установить, что в 2024 году бюджетные кредиты бюджетам муниципальных образований, входящих в состав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области, предоставляются из муниципального бюджета в пределах общего объема бюджетных ассигнований, предусмотренных по источникам финансирования дефицита бюджета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области, бюджета для покрытия временных кассовых разрывов, возникающих при исполнении местных бюджетов, на срок, не выходящий за пределы финансового года, в сумме до 10000,0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предоставление бюджетных кредитов местным бюджетам осуществляется без предоставления муниципальными образованиями области обеспечения исполнения </w:t>
      </w: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своих обязательств по возврату бюджетных кредитов, уплате процентных и иных платежей, предусматриваемых соответствующими договорами.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плату за пользование бюджетными кредитами в размере                     0,1 процента годовых.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кредиты из муниципального бюджета местным бюджетам предоставляются с соблюдением требований, установленных статьей 932 Бюджетного кодекса Российской Федерации, и при условии соблюдения муниципальным образованием области ограничений и требований, установленных статьей 92.1 и статьей 107 Бюджетного кодекса Российской Федерации, на 1-е число месяца, в котором предполагается перечисление бюджетного кредита.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Остатки средств бюджета муниципального района, находящиеся по состоянию на 1 января 2024 года на едином счете бюджета муниципального района, в 2024 году могут направляться на увеличение бюджетных ассигнований на: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 заключенных от имени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2023 году, в объеме, не превышающем сумму остатка не использованных на начало текущего финансового года бюджетных ассигнований на исполнение указанных муниципальных контрактов;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субсидий юридическим лицам, предоставление которых в 2023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 в объеме, не превышающем сумму остатка неиспользованных бюджетных ассигнований на указанные цели.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Остатки средств бюджета муниципального района, находящиеся по состоянию на 1 января 2024 года на едином счете бюджета муниципального района, в объеме, необходимом для покрытия временных кассовых разрывов, возникающих в ходе исполнения бюджета муниципального района в 2024 году, могут направляться на их покрытие.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 может осуществляться через уполномоченный орган: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централизованная бухгалтерия администрации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Установить, что в случае, предусмотренном настоящей статьей, Управление Федерального казначейства по Саратовской области осуществляет казначейское сопровождение средств муниципального бюджета с последующим подтверждением их использования в соответствии с условиями и (или) целями, установленными при предоставлении указанных средств (далее – целевые средства).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в 2024 году и плановом периоде 2025 и 2026 годов казначейскому сопровождению подлежат следующие целевые средства: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авансовые платежи и расчеты по муниципальным контрактам (договорам) о поставке товаров, выполнении работ, оказании услуг, заключаемым на сумму 50000,0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более, для обеспечения муниципальных нужд;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расчеты по муниципальным контрактам (договорам) о поставке товаров, выполнении работ, оказании услуг, заключаемым на сумму 50000,0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более, муниципальными бюджетными и автономными учреждениями.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Установить в соответствии со статьей 9 решения муниципального Собрания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 от 17.12.2019 № 16/78 «Об </w:t>
      </w: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утверждении Положения о бюджетном процессе в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Татищевском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 Саратовской области» (с изменениями от 21.04.2020 № 21/88, от 18.11.2020 №29/120) следующие дополнительные основания для внесения изменений в сводную бюджетную роспись муниципального бюджета без внесения изменений в настоящее решение: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случае перераспределения бюджетных ассигнований между кодами бюджетной классификации источников финансирования дефицита бюджета в ходе исполнения муниципального бюджета в пределах общего объема бюджетных ассигнований по источникам финансирования дефицита бюджета, утвержденного на соответствующий финансовый год решением о муниципальном бюджете;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случае перераспределения бюджетных ассигнований между разделами, подразделами, целевыми статьями и видами расходов классификации расходов бюджета в пределах средств, предусмотренных главному распорядителю средств муниципального бюджета на соответствующий финансовый год решением об утверждении муниципального бюджета, для выполнения условий, установленных при предоставлении межбюджетных субсидий и (или) иных межбюджетных трансфертов, имеющих целевое назначение, из федерального бюджета на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расходных обязательств района;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случае перераспределения бюджетных ассигнований по отдельным разделам, подразделам, целевым статьям и видам расходов классификации расходов бюджета за счет экономии по использованию в текущем финансовом году бюджетных ассигнований на оказание муниципальных услуг (выполнение работ, поставку товаров) в пределах общего объема бюджетных ассигнований, предусмотренных главному распорядителю средств муниципального бюджета на соответствующий финансовый год решением о муниципальном бюджете, при условии их направления на погашение кредиторской задолженности прошлых лет и (или) исполнение судебных решений;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случае изменения и (или) уточнения бюджетной классификации Российской Федерации на основании правовых актов Министерства финансов Российской Федерации.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случае перераспределения бюджетных ассигнований между разделами, подразделами, целевыми статьями и видами расходов классификации расходов бюджета в пределах средств, предусмотренных главному распорядителю средств муниципального бюджета на соответствующий финансовый год решением муниципального Собрания района о бюджете района, с целью возврата в областной бюджет средств в связи с применением бюджетных мер ответственности за совершение бюджетных нарушений, предусмотренных соглашением о предоставлении субсидий из областного бюджета бюджету района;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случае перераспределения бюджетных ассигнований между главными распорядителями средств муниципального бюджета, разделами, подразделами, целевыми статьями и видами расходов классификации расходов бюджета, мероприятиями муниципальной программы района в пределах общего объема средств, предусмотренных на финансовое обеспечение реализации национальных проектов в целях реализации Указа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Настоящее решение вступает в силу с 1 января 2024 года.</w:t>
      </w:r>
    </w:p>
    <w:p w:rsidR="00D42D60" w:rsidRPr="00D42D60" w:rsidRDefault="00D42D60" w:rsidP="00D42D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Опубликовать настоящее решение в газете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 «Вестник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района».</w:t>
      </w:r>
    </w:p>
    <w:p w:rsidR="00D42D60" w:rsidRPr="00D42D60" w:rsidRDefault="00D42D60" w:rsidP="00D42D6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</w:p>
    <w:p w:rsidR="00D42D60" w:rsidRPr="00D42D60" w:rsidRDefault="00D42D60" w:rsidP="00D42D6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Собрания                                                  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А.Н.Блохин</w:t>
      </w:r>
      <w:proofErr w:type="spellEnd"/>
    </w:p>
    <w:p w:rsidR="00D42D60" w:rsidRPr="00D42D60" w:rsidRDefault="00D42D60" w:rsidP="00D42D6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</w:p>
    <w:p w:rsidR="00D42D60" w:rsidRPr="00D42D60" w:rsidRDefault="00D42D60" w:rsidP="00D42D6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                                                       П.В.Сурков</w:t>
      </w:r>
    </w:p>
    <w:p w:rsidR="00BD1560" w:rsidRDefault="00BD1560">
      <w:bookmarkStart w:id="0" w:name="_GoBack"/>
      <w:bookmarkEnd w:id="0"/>
    </w:p>
    <w:sectPr w:rsidR="00BD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60"/>
    <w:rsid w:val="00BD1560"/>
    <w:rsid w:val="00D4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73F7C-35F6-40D8-9379-C249738C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D60"/>
    <w:rPr>
      <w:b/>
      <w:bCs/>
    </w:rPr>
  </w:style>
  <w:style w:type="character" w:styleId="a5">
    <w:name w:val="Hyperlink"/>
    <w:basedOn w:val="a0"/>
    <w:uiPriority w:val="99"/>
    <w:semiHidden/>
    <w:unhideWhenUsed/>
    <w:rsid w:val="00D42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ishevo.saratov.gov.ru/images/stories/2024/03/55557767676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atishevo.saratov.gov.ru/images/stories/2024/03/44444376767676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tishevo.saratov.gov.ru/images/stories/2024/03/33376767676.docx" TargetMode="External"/><Relationship Id="rId11" Type="http://schemas.openxmlformats.org/officeDocument/2006/relationships/hyperlink" Target="http://tatishevo.saratov.gov.ru/images/stories/2024/03/8888767676.docx" TargetMode="External"/><Relationship Id="rId5" Type="http://schemas.openxmlformats.org/officeDocument/2006/relationships/hyperlink" Target="http://tatishevo.saratov.gov.ru/images/stories/2024/03/222767667.docx" TargetMode="External"/><Relationship Id="rId10" Type="http://schemas.openxmlformats.org/officeDocument/2006/relationships/hyperlink" Target="http://tatishevo.saratov.gov.ru/images/stories/2024/03/77777656565.docx" TargetMode="External"/><Relationship Id="rId4" Type="http://schemas.openxmlformats.org/officeDocument/2006/relationships/hyperlink" Target="http://tatishevo.saratov.gov.ru/images/stories/2024/03/1111176.docx" TargetMode="External"/><Relationship Id="rId9" Type="http://schemas.openxmlformats.org/officeDocument/2006/relationships/hyperlink" Target="http://tatishevo.saratov.gov.ru/images/stories/2024/03/66654454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niklight007@mail.ru</dc:creator>
  <cp:keywords/>
  <dc:description/>
  <cp:lastModifiedBy>niklight007@mail.ru</cp:lastModifiedBy>
  <cp:revision>1</cp:revision>
  <dcterms:created xsi:type="dcterms:W3CDTF">2025-01-29T11:18:00Z</dcterms:created>
  <dcterms:modified xsi:type="dcterms:W3CDTF">2025-01-29T11:18:00Z</dcterms:modified>
</cp:coreProperties>
</file>