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200" w:line="240" w:lineRule="auto"/>
        <w:contextualSpacing/>
        <w:jc w:val="center"/>
        <w:rPr>
          <w:rFonts w:ascii="Times New Roman" w:hAnsi="Times New Roman" w:cs="Times New Roman" w:eastAsiaTheme="minorEastAsia"/>
          <w:b/>
          <w:color w:val="00000A"/>
          <w:sz w:val="28"/>
          <w:szCs w:val="28"/>
          <w:lang w:val="en-US" w:eastAsia="ru-RU" w:bidi="ar-SA"/>
        </w:rPr>
      </w:pPr>
    </w:p>
    <w:p>
      <w:pPr>
        <w:autoSpaceDE w:val="0"/>
        <w:autoSpaceDN w:val="0"/>
        <w:adjustRightInd w:val="0"/>
        <w:spacing w:after="0" w:line="20" w:lineRule="atLeast"/>
        <w:jc w:val="both"/>
        <w:rPr>
          <w:rFonts w:ascii="Times New Roman" w:hAnsi="Times New Roman"/>
          <w:b/>
          <w:bCs/>
          <w:sz w:val="28"/>
          <w:szCs w:val="28"/>
        </w:rPr>
      </w:pPr>
      <w:bookmarkStart w:id="2" w:name="_GoBack"/>
      <w:bookmarkEnd w:id="2"/>
    </w:p>
    <w:p>
      <w:pPr>
        <w:spacing w:before="0" w:after="200" w:line="240" w:lineRule="auto"/>
        <w:ind w:firstLine="7560" w:firstLineChars="2700"/>
        <w:contextualSpacing/>
      </w:pPr>
      <w:r>
        <w:rPr>
          <w:rFonts w:ascii="Times New Roman" w:hAnsi="Times New Roman" w:cs="Times New Roman"/>
          <w:sz w:val="28"/>
          <w:szCs w:val="28"/>
        </w:rPr>
        <w:t xml:space="preserve">Приложение </w:t>
      </w:r>
    </w:p>
    <w:p>
      <w:pPr>
        <w:spacing w:before="0" w:after="200" w:line="240" w:lineRule="auto"/>
        <w:ind w:firstLine="6300" w:firstLineChars="2250"/>
        <w:contextualSpacing/>
        <w:jc w:val="both"/>
      </w:pPr>
      <w:r>
        <w:rPr>
          <w:rFonts w:ascii="Times New Roman" w:hAnsi="Times New Roman" w:cs="Times New Roman"/>
          <w:sz w:val="28"/>
          <w:szCs w:val="28"/>
        </w:rPr>
        <w:t xml:space="preserve">к постановлению администрации                          </w:t>
      </w:r>
    </w:p>
    <w:p>
      <w:pPr>
        <w:spacing w:before="0" w:after="200" w:line="240" w:lineRule="auto"/>
        <w:ind w:left="6379" w:firstLine="0"/>
        <w:contextualSpacing/>
        <w:jc w:val="center"/>
      </w:pPr>
      <w:r>
        <w:rPr>
          <w:rFonts w:ascii="Times New Roman" w:hAnsi="Times New Roman" w:cs="Times New Roman"/>
          <w:sz w:val="28"/>
          <w:szCs w:val="28"/>
        </w:rPr>
        <w:t xml:space="preserve">Татищевского муниципального </w:t>
      </w:r>
    </w:p>
    <w:p>
      <w:pPr>
        <w:spacing w:before="0" w:after="200" w:line="240" w:lineRule="auto"/>
        <w:ind w:left="6379" w:firstLine="0"/>
        <w:contextualSpacing/>
        <w:jc w:val="center"/>
      </w:pPr>
      <w:r>
        <w:rPr>
          <w:rFonts w:ascii="Times New Roman" w:hAnsi="Times New Roman" w:cs="Times New Roman"/>
          <w:sz w:val="28"/>
          <w:szCs w:val="28"/>
        </w:rPr>
        <w:t xml:space="preserve">района Саратовской области  </w:t>
      </w:r>
    </w:p>
    <w:p>
      <w:pPr>
        <w:spacing w:before="0" w:after="200" w:line="240" w:lineRule="auto"/>
        <w:ind w:left="6379" w:firstLine="0"/>
        <w:contextualSpacing/>
        <w:jc w:val="center"/>
      </w:pPr>
      <w:r>
        <w:rPr>
          <w:rFonts w:ascii="Times New Roman" w:hAnsi="Times New Roman" w:cs="Times New Roman"/>
          <w:sz w:val="28"/>
          <w:szCs w:val="28"/>
        </w:rPr>
        <w:t xml:space="preserve">от ______________ №_________     </w:t>
      </w:r>
    </w:p>
    <w:p>
      <w:pPr>
        <w:autoSpaceDE w:val="0"/>
        <w:autoSpaceDN w:val="0"/>
        <w:adjustRightInd w:val="0"/>
        <w:spacing w:after="0" w:line="20" w:lineRule="atLeast"/>
        <w:jc w:val="both"/>
        <w:rPr>
          <w:rFonts w:ascii="Times New Roman" w:hAnsi="Times New Roman"/>
          <w:b/>
          <w:bCs/>
          <w:sz w:val="28"/>
          <w:szCs w:val="28"/>
        </w:rPr>
      </w:pPr>
    </w:p>
    <w:p>
      <w:pPr>
        <w:autoSpaceDE w:val="0"/>
        <w:autoSpaceDN w:val="0"/>
        <w:adjustRightInd w:val="0"/>
        <w:spacing w:after="0" w:line="20" w:lineRule="atLeast"/>
        <w:jc w:val="center"/>
        <w:rPr>
          <w:rFonts w:ascii="Times New Roman" w:hAnsi="Times New Roman"/>
          <w:sz w:val="28"/>
          <w:szCs w:val="28"/>
        </w:rPr>
      </w:pPr>
    </w:p>
    <w:p>
      <w:pPr>
        <w:autoSpaceDE w:val="0"/>
        <w:autoSpaceDN w:val="0"/>
        <w:adjustRightInd w:val="0"/>
        <w:spacing w:after="0" w:line="20" w:lineRule="atLeast"/>
        <w:jc w:val="center"/>
        <w:rPr>
          <w:rFonts w:ascii="Times New Roman" w:hAnsi="Times New Roman"/>
          <w:b/>
          <w:bCs/>
          <w:sz w:val="28"/>
          <w:szCs w:val="28"/>
        </w:rPr>
      </w:pPr>
      <w:bookmarkStart w:id="0" w:name="Par44"/>
      <w:bookmarkEnd w:id="0"/>
      <w:r>
        <w:rPr>
          <w:rFonts w:ascii="Times New Roman" w:hAnsi="Times New Roman"/>
          <w:b/>
          <w:bCs/>
          <w:sz w:val="28"/>
          <w:szCs w:val="28"/>
        </w:rPr>
        <w:t xml:space="preserve">Программа профилактики </w:t>
      </w:r>
      <w:r>
        <w:rPr>
          <w:rFonts w:ascii="Times New Roman" w:hAnsi="Times New Roman"/>
          <w:b/>
          <w:sz w:val="28"/>
          <w:szCs w:val="28"/>
        </w:rPr>
        <w:t xml:space="preserve">рисков причинения вреда (ущерба) охраняемым законом ценностям в сфере муниципального лесного контроля на территории Татищевского муниципального района Саратовской области </w:t>
      </w:r>
      <w:r>
        <w:rPr>
          <w:rFonts w:ascii="Times New Roman" w:hAnsi="Times New Roman"/>
          <w:b/>
          <w:bCs/>
          <w:sz w:val="28"/>
          <w:szCs w:val="28"/>
        </w:rPr>
        <w:t>на 202</w:t>
      </w:r>
      <w:r>
        <w:rPr>
          <w:rFonts w:hint="default" w:ascii="Times New Roman" w:hAnsi="Times New Roman"/>
          <w:b/>
          <w:bCs/>
          <w:sz w:val="28"/>
          <w:szCs w:val="28"/>
          <w:lang w:val="ru-RU"/>
        </w:rPr>
        <w:t>3</w:t>
      </w:r>
      <w:r>
        <w:rPr>
          <w:rFonts w:ascii="Times New Roman" w:hAnsi="Times New Roman"/>
          <w:b/>
          <w:bCs/>
          <w:sz w:val="28"/>
          <w:szCs w:val="28"/>
        </w:rPr>
        <w:t xml:space="preserve"> год</w:t>
      </w:r>
    </w:p>
    <w:p>
      <w:pPr>
        <w:autoSpaceDE w:val="0"/>
        <w:autoSpaceDN w:val="0"/>
        <w:adjustRightInd w:val="0"/>
        <w:spacing w:after="0" w:line="20" w:lineRule="atLeast"/>
        <w:ind w:firstLine="709"/>
        <w:jc w:val="both"/>
        <w:rPr>
          <w:rFonts w:ascii="Times New Roman" w:hAnsi="Times New Roman"/>
          <w:sz w:val="28"/>
          <w:szCs w:val="28"/>
        </w:rPr>
      </w:pPr>
    </w:p>
    <w:p>
      <w:pPr>
        <w:pStyle w:val="31"/>
        <w:ind w:firstLine="709"/>
        <w:jc w:val="both"/>
        <w:rPr>
          <w:rFonts w:ascii="Times New Roman" w:hAnsi="Times New Roman"/>
          <w:sz w:val="28"/>
        </w:rPr>
      </w:pPr>
      <w:bookmarkStart w:id="1" w:name="Par94"/>
      <w:bookmarkEnd w:id="1"/>
      <w:r>
        <w:rPr>
          <w:rFonts w:ascii="Times New Roman" w:hAnsi="Times New Roman"/>
          <w:sz w:val="28"/>
        </w:rPr>
        <w:t>Настоящая Программа профилактики рисков причинения вреда (ущерба) охраняемым законом ценностям в сфере муниципального лесного контроля на территории Татищевского муниципального района Саратовской области на 202</w:t>
      </w:r>
      <w:r>
        <w:rPr>
          <w:rFonts w:hint="default" w:ascii="Times New Roman" w:hAnsi="Times New Roman"/>
          <w:sz w:val="28"/>
          <w:lang w:val="ru-RU"/>
        </w:rPr>
        <w:t>3</w:t>
      </w:r>
      <w:r>
        <w:rPr>
          <w:rFonts w:ascii="Times New Roman" w:hAnsi="Times New Roman"/>
          <w:sz w:val="28"/>
        </w:rPr>
        <w:t xml:space="preserve"> год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pPr>
        <w:pStyle w:val="31"/>
        <w:ind w:firstLine="709"/>
        <w:jc w:val="both"/>
        <w:rPr>
          <w:rFonts w:ascii="Times New Roman" w:hAnsi="Times New Roman"/>
          <w:sz w:val="28"/>
        </w:rPr>
      </w:pPr>
    </w:p>
    <w:p>
      <w:pPr>
        <w:pStyle w:val="31"/>
        <w:jc w:val="center"/>
        <w:rPr>
          <w:rFonts w:ascii="Times New Roman" w:hAnsi="Times New Roman"/>
          <w:b/>
          <w:sz w:val="28"/>
        </w:rPr>
      </w:pPr>
      <w:r>
        <w:rPr>
          <w:rFonts w:ascii="Times New Roman" w:hAnsi="Times New Roman"/>
          <w:b/>
          <w:sz w:val="28"/>
          <w:lang w:val="en-US"/>
        </w:rPr>
        <w:t>I</w:t>
      </w:r>
      <w:r>
        <w:rPr>
          <w:rFonts w:ascii="Times New Roman" w:hAnsi="Times New Roman"/>
          <w:b/>
          <w:sz w:val="28"/>
        </w:rPr>
        <w:t xml:space="preserve">. Анализ текущего состояния осуществления муниципального лесного контроля, описание текущего развития профилактической деятельности, характеристика проблем, на решение которых </w:t>
      </w:r>
    </w:p>
    <w:p>
      <w:pPr>
        <w:pStyle w:val="31"/>
        <w:jc w:val="center"/>
        <w:rPr>
          <w:rFonts w:ascii="Times New Roman" w:hAnsi="Times New Roman"/>
          <w:b/>
          <w:sz w:val="28"/>
        </w:rPr>
      </w:pPr>
      <w:r>
        <w:rPr>
          <w:rFonts w:ascii="Times New Roman" w:hAnsi="Times New Roman"/>
          <w:b/>
          <w:sz w:val="28"/>
        </w:rPr>
        <w:t>направлена Программа</w:t>
      </w:r>
    </w:p>
    <w:p>
      <w:pPr>
        <w:pStyle w:val="31"/>
        <w:jc w:val="center"/>
        <w:rPr>
          <w:rFonts w:ascii="Times New Roman" w:hAnsi="Times New Roman"/>
          <w:b/>
          <w:sz w:val="28"/>
        </w:rPr>
      </w:pP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Муниципальный лесной контроль (далее – лесной контроль) на территории Татищевского муниципального района Саратовской области осуществляется сектором земельных отношений управления сельского хозяйства, предпринимательства, земельных и имущественных отношений администрации Татищевского муниципального района (далее – сектор земельных отношений). Ответственными лицами, уполномоченными на осуществление лесного контроля, являются специалисты сектора земельных отношений.</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 xml:space="preserve">После внесения изменений в Генеральный план Татищевского муниципального района Саратовской области и включения земельного участка площадью 15 га из земель лесного фонда в земли населенных пунктов со статусом «Городские леса» без образования лесничества, площадь городских лесов Татищевского муниципального района составит 15 Га. </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Объектами лесного контроля являются:</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лесных участков, находящихся в муниципальной собственности, и лесоразведению в них;</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б) производственные объекты:</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средства предупреждения и тушения лесных пожаров;</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 к которым предъявляются обязательные требования.</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Контролируемыми лицами при осуществлении лесного контроля являются юридические лица, индивидуальные предприниматели, граждане.</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Главной задачей администрации Татищевского муниципального района Саратовской области (далее – администрация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Осуществление профилактической деятельности заключается в информировании контролируемых лиц посредством размещения в средствах массовой информации, информационно-телекоммуникационной сети «Интернет» сведений о необходимости соблюдения Правил пользования муниципальными лесными участками.</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Анализ положений статей 260, 261 Уголовного кодекса Российской Федерации (далее – УК РФ), статей 7.9, 7.10, 8.12, 8,25, 8.26, 8.27, 8.28, 8.28.1, 8.30, 8.30.1, 8.31, 8.32, 8.32.3, 8.45.1 Кодекса Российской Федерации 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следующие нарушения, на минимизацию которых рассчитана Программа в 2022 году:</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а) обязательных требований о недопущении незаконной рубки, а равно повреждения до степени прекращения роста лесных насаждений или не отнесенных к лесным насаждениям деревьев, кустарников, лиан (статья 260 УК РФ);</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б) обязательных требований о недопущении 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общеопасным способом либо в результате загрязнения или иного негативного воздействия (статья 261 УК РФ);</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в) обязательных требований о недопущении самовольного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г) обязательных требований о недопущении самовольной уступки права пользования лесным участком (статья 7.10 КоАП РФ);</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д) обязательных требований о недопущении нарушения режима использования лесов в водоохранных зонах (статья 8.12 КоАП РФ);</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е) обязательных требований о недопущении нарушения правил использования лесов, в том числе в части:</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 заготовки древесины</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 порядка проведения рубок лесных насаждений, в том числе в лесопарковом зеленом поясе;</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(статья 8.25 КоАП РФ); </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ж) обязательных требований о недопущении самовольного использования лесов, нарушения правил использования лесов для ведения сельского хозяйства, уничтожения лесных ресурсов в том числе:</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 самовольной заготовки и сбора, а также уничтожения мха, лесной подстилки и других недревесных лесных ресурсов;</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з) обязательных требований о недопущении нарушения лесного законодательства по воспроизводству лесов и лесоразведению (статья 8.27 КоАП РФ);</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и) обязательных требований о недопущении:</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 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 приобретения, хранения, перевозки или сбыта заведомо незаконно заготовленной древесины (статья 8.28 КоАП РФ);</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к) обязательных требований о недопущении нарушения требований лесного законодательства об учете древесины и сделок с ней, в том числе:</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 непредставления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 нарушения порядка учета древесины;</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 нарушения требований лесного законодательства в части обязательной маркировки древесины;</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л) обязательных требований о недопущении уничтожения лесной инфраструктуры (статья 8.30 КоАП РФ);</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м) обязательных требований о недопущении нарушения порядка проектирования, создания, содержания и эксплуатации объектов лесной инфраструктуры (статья 8.30.1 КоАП РФ);</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н) обязательных требований о недопущении:</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 нарушения правил санитарной безопасности в лесах;</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о) обязательных требований о недопущении:</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 нарушения правил пожарной безопасности в лесах, в том числе совершенного в лесопарковом зеленом поясе;</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 выжигания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п) обязательных требований о недопущении невыполнения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р) обязательных требований о недопущении нарушения режима осуществления хозяйственной и иной деятельности в лесопарковом зеленом поясе (статья 8.45.1 КоАП РФ).</w:t>
      </w:r>
    </w:p>
    <w:p>
      <w:pPr>
        <w:pStyle w:val="31"/>
        <w:jc w:val="both"/>
        <w:rPr>
          <w:rFonts w:ascii="Times New Roman" w:hAnsi="Times New Roman"/>
          <w:sz w:val="28"/>
        </w:rPr>
      </w:pPr>
    </w:p>
    <w:p>
      <w:pPr>
        <w:pStyle w:val="31"/>
        <w:jc w:val="center"/>
        <w:rPr>
          <w:rFonts w:ascii="Times New Roman" w:hAnsi="Times New Roman"/>
          <w:b/>
          <w:sz w:val="28"/>
        </w:rPr>
      </w:pPr>
      <w:r>
        <w:rPr>
          <w:rFonts w:ascii="Times New Roman" w:hAnsi="Times New Roman"/>
          <w:b/>
          <w:sz w:val="28"/>
          <w:lang w:val="en-US"/>
        </w:rPr>
        <w:t>II</w:t>
      </w:r>
      <w:r>
        <w:rPr>
          <w:rFonts w:ascii="Times New Roman" w:hAnsi="Times New Roman"/>
          <w:b/>
          <w:sz w:val="28"/>
        </w:rPr>
        <w:t>. Цели и задачи реализации программы профилактики.</w:t>
      </w:r>
    </w:p>
    <w:p>
      <w:pPr>
        <w:pStyle w:val="31"/>
        <w:jc w:val="center"/>
        <w:rPr>
          <w:rFonts w:ascii="Times New Roman" w:hAnsi="Times New Roman"/>
          <w:b/>
          <w:sz w:val="28"/>
        </w:rPr>
      </w:pP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2.1. Целями проведения профилактических мероприятий являются:</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повышение прозрачности деятельности администрации района при осуществлении муниципального контроля;</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снижение административных и финансовых издержек по сравнению с ведением контрольной деятельности исключительно путем проведения контрольных мероприятий;</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предупреждение нарушения подконтрольными субъектами обязательных требований, включая устранение причин, факторов и условий, способствующих возможному нарушению обязательных требований;</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мотивация к добросовестному поведению и, как следствие, снижение уровня ущерба охраняемым законом ценностям;</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разъяснение подконтрольным субъектам обязательных требований.</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2.2. Проведение профилактических мероприятий направлено на решение следующих задач:</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формирование единого понимания обязательных требований в соответствующей сфере у всех участников контрольной деятельности;</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инвентаризация состава и особенностей подконтрольных субъектов (объектов) и оценка состояния подконтрольной сферы;</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2.3. Профилактические мероприятия планируются и осуществляются на основе соблюдения следующих базовых принципов:</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принцип 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 и др.;</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принцип 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информационно-телекоммуникационных технологий);</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принцип вовлеченности - обеспечение включения подконтрольных субъектов посредством различных каналов и инструментов обратной связи в процесс взаимодействия с администрацией района по поводу предмета профилактических мероприятий, их качества и результативности;</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принцип полноты охвата - включение в программу профилактических мероприятий максимального числа подконтрольных субъектов;</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принцип 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принцип релевантности - выбор набора видов и форм профилактических мероприятий, учитывающий особенности подконтрольных субъектов (специфика вида деятельности, размер организации, наиболее удобный способ коммуникации и др.) и объектов;</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принцип периодичности - обеспечение регулярности проведения профилактических мероприятий.</w:t>
      </w:r>
    </w:p>
    <w:p>
      <w:pPr>
        <w:pStyle w:val="31"/>
        <w:jc w:val="center"/>
        <w:rPr>
          <w:rFonts w:ascii="Times New Roman" w:hAnsi="Times New Roman"/>
          <w:sz w:val="28"/>
        </w:rPr>
      </w:pPr>
    </w:p>
    <w:p>
      <w:pPr>
        <w:pStyle w:val="31"/>
        <w:jc w:val="center"/>
        <w:rPr>
          <w:rFonts w:ascii="Times New Roman" w:hAnsi="Times New Roman"/>
          <w:b/>
          <w:sz w:val="28"/>
        </w:rPr>
      </w:pPr>
      <w:r>
        <w:rPr>
          <w:rFonts w:ascii="Times New Roman" w:hAnsi="Times New Roman"/>
          <w:b/>
          <w:sz w:val="28"/>
          <w:lang w:val="en-US"/>
        </w:rPr>
        <w:t>III</w:t>
      </w:r>
      <w:r>
        <w:rPr>
          <w:rFonts w:ascii="Times New Roman" w:hAnsi="Times New Roman"/>
          <w:b/>
          <w:sz w:val="28"/>
        </w:rPr>
        <w:t xml:space="preserve">. Перечень профилактических мероприятий, </w:t>
      </w:r>
    </w:p>
    <w:p>
      <w:pPr>
        <w:pStyle w:val="31"/>
        <w:jc w:val="center"/>
        <w:rPr>
          <w:rFonts w:ascii="Times New Roman" w:hAnsi="Times New Roman"/>
          <w:b/>
          <w:sz w:val="28"/>
        </w:rPr>
      </w:pPr>
      <w:r>
        <w:rPr>
          <w:rFonts w:ascii="Times New Roman" w:hAnsi="Times New Roman"/>
          <w:b/>
          <w:sz w:val="28"/>
        </w:rPr>
        <w:t>сроки (периодичность) их проведения</w:t>
      </w:r>
    </w:p>
    <w:p>
      <w:pPr>
        <w:pStyle w:val="31"/>
        <w:jc w:val="center"/>
        <w:rPr>
          <w:rFonts w:ascii="Times New Roman" w:hAnsi="Times New Roman"/>
          <w:sz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7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top"/>
          </w:tcPr>
          <w:p>
            <w:pPr>
              <w:pStyle w:val="31"/>
              <w:widowControl w:val="0"/>
              <w:jc w:val="center"/>
              <w:rPr>
                <w:rFonts w:ascii="Times New Roman" w:hAnsi="Times New Roman"/>
                <w:sz w:val="24"/>
              </w:rPr>
            </w:pPr>
            <w:r>
              <w:rPr>
                <w:rFonts w:ascii="Times New Roman" w:hAnsi="Times New Roman"/>
                <w:sz w:val="24"/>
              </w:rPr>
              <w:t>Вид профилактического мероприятия</w:t>
            </w:r>
          </w:p>
        </w:tc>
        <w:tc>
          <w:tcPr>
            <w:tcW w:w="7053" w:type="dxa"/>
            <w:noWrap w:val="0"/>
            <w:vAlign w:val="top"/>
          </w:tcPr>
          <w:p>
            <w:pPr>
              <w:pStyle w:val="31"/>
              <w:widowControl w:val="0"/>
              <w:jc w:val="center"/>
              <w:rPr>
                <w:rFonts w:ascii="Times New Roman" w:hAnsi="Times New Roman"/>
                <w:sz w:val="24"/>
              </w:rPr>
            </w:pPr>
            <w:r>
              <w:rPr>
                <w:rFonts w:ascii="Times New Roman" w:hAnsi="Times New Roman"/>
                <w:sz w:val="24"/>
              </w:rPr>
              <w:t>Порядок, сроки, способы реализации профилактического мероприятия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top"/>
          </w:tcPr>
          <w:p>
            <w:pPr>
              <w:pStyle w:val="31"/>
              <w:widowControl w:val="0"/>
              <w:jc w:val="both"/>
              <w:rPr>
                <w:rFonts w:ascii="Times New Roman" w:hAnsi="Times New Roman"/>
                <w:sz w:val="24"/>
              </w:rPr>
            </w:pPr>
            <w:r>
              <w:rPr>
                <w:rFonts w:ascii="Times New Roman" w:hAnsi="Times New Roman"/>
                <w:sz w:val="24"/>
              </w:rPr>
              <w:t xml:space="preserve">Информирование </w:t>
            </w:r>
          </w:p>
        </w:tc>
        <w:tc>
          <w:tcPr>
            <w:tcW w:w="7053" w:type="dxa"/>
            <w:noWrap w:val="0"/>
            <w:vAlign w:val="top"/>
          </w:tcPr>
          <w:p>
            <w:pPr>
              <w:pStyle w:val="31"/>
              <w:widowControl w:val="0"/>
              <w:jc w:val="both"/>
              <w:rPr>
                <w:rFonts w:ascii="Times New Roman" w:hAnsi="Times New Roman"/>
                <w:sz w:val="24"/>
              </w:rPr>
            </w:pPr>
            <w:r>
              <w:rPr>
                <w:rFonts w:ascii="Times New Roman" w:hAnsi="Times New Roman"/>
                <w:sz w:val="24"/>
                <w:szCs w:val="24"/>
              </w:rPr>
              <w:t xml:space="preserve">Информирование осуществляется сектором земельных отношений по вопросам соблюдения обязательных требований посредством размещения соответствующих сведений на официальном сайте </w:t>
            </w:r>
            <w:r>
              <w:rPr>
                <w:rFonts w:ascii="Times New Roman" w:hAnsi="Times New Roman"/>
                <w:sz w:val="24"/>
              </w:rPr>
              <w:t>Татищевского муниципального района Саратовской области</w:t>
            </w:r>
            <w:r>
              <w:rPr>
                <w:rFonts w:ascii="Times New Roman" w:hAnsi="Times New Roman"/>
                <w:sz w:val="24"/>
                <w:szCs w:val="24"/>
              </w:rPr>
              <w:t xml:space="preserve"> в специальном разделе, посвященном контрольной</w:t>
            </w:r>
            <w:r>
              <w:rPr>
                <w:rFonts w:ascii="Times New Roman" w:hAnsi="Times New Roman"/>
                <w:sz w:val="24"/>
              </w:rPr>
              <w:t xml:space="preserve">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31"/>
              <w:widowControl w:val="0"/>
              <w:jc w:val="both"/>
              <w:rPr>
                <w:rFonts w:ascii="Times New Roman" w:hAnsi="Times New Roman"/>
                <w:sz w:val="24"/>
              </w:rPr>
            </w:pPr>
            <w:r>
              <w:rPr>
                <w:rFonts w:ascii="Times New Roman" w:hAnsi="Times New Roman"/>
                <w:sz w:val="24"/>
                <w:szCs w:val="24"/>
              </w:rPr>
              <w:t>Администрация района</w:t>
            </w:r>
            <w:r>
              <w:rPr>
                <w:rFonts w:ascii="Times New Roman" w:hAnsi="Times New Roman"/>
                <w:sz w:val="24"/>
              </w:rPr>
              <w:t xml:space="preserve"> обязана размещать и поддерживать в актуальном состоянии на официальном сайте Татищевского муниципального района Саратовской области в специальном разделе, посвященном контрольной деятельности, сведения, предусмотренные частью 3 статьи 46 Федерального закона от 31 июля 2020 № 248-ФЗ «О государственном контроле (надзоре) и муниципальном контроле в Российской Федерации».</w:t>
            </w:r>
          </w:p>
          <w:p>
            <w:pPr>
              <w:pStyle w:val="31"/>
              <w:widowControl w:val="0"/>
              <w:jc w:val="both"/>
              <w:rPr>
                <w:rFonts w:ascii="Times New Roman" w:hAnsi="Times New Roman"/>
                <w:sz w:val="24"/>
              </w:rPr>
            </w:pPr>
            <w:r>
              <w:rPr>
                <w:rFonts w:ascii="Times New Roman" w:hAnsi="Times New Roman"/>
                <w:sz w:val="24"/>
                <w:szCs w:val="24"/>
              </w:rPr>
              <w:t>Сектор земельных отношений</w:t>
            </w:r>
            <w:r>
              <w:rPr>
                <w:rFonts w:ascii="Times New Roman" w:hAnsi="Times New Roman"/>
                <w:sz w:val="24"/>
              </w:rPr>
              <w:t xml:space="preserve"> также вправе информировать население Татищевского муниципального района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производственных объектов, исходя из их отнесения к соответствующей категории риска.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top"/>
          </w:tcPr>
          <w:p>
            <w:pPr>
              <w:pStyle w:val="31"/>
              <w:widowControl w:val="0"/>
              <w:jc w:val="both"/>
              <w:rPr>
                <w:rFonts w:ascii="Times New Roman" w:hAnsi="Times New Roman"/>
                <w:sz w:val="24"/>
              </w:rPr>
            </w:pPr>
            <w:r>
              <w:rPr>
                <w:rFonts w:ascii="Times New Roman" w:hAnsi="Times New Roman"/>
                <w:sz w:val="24"/>
              </w:rPr>
              <w:t>Объявление предостережения</w:t>
            </w:r>
          </w:p>
        </w:tc>
        <w:tc>
          <w:tcPr>
            <w:tcW w:w="7053" w:type="dxa"/>
            <w:noWrap w:val="0"/>
            <w:vAlign w:val="top"/>
          </w:tcPr>
          <w:p>
            <w:pPr>
              <w:pStyle w:val="31"/>
              <w:widowControl w:val="0"/>
              <w:jc w:val="both"/>
              <w:rPr>
                <w:rFonts w:ascii="Times New Roman" w:hAnsi="Times New Roman"/>
                <w:sz w:val="24"/>
              </w:rPr>
            </w:pPr>
            <w:r>
              <w:rPr>
                <w:rFonts w:ascii="Times New Roman" w:hAnsi="Times New Roman"/>
                <w:sz w:val="24"/>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в администрации района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первым заместителем главы администрации Татищевского муниципального района Саратовской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pPr>
              <w:pStyle w:val="31"/>
              <w:widowControl w:val="0"/>
              <w:jc w:val="both"/>
              <w:rPr>
                <w:rFonts w:ascii="Times New Roman" w:hAnsi="Times New Roman"/>
                <w:sz w:val="24"/>
              </w:rPr>
            </w:pPr>
            <w:r>
              <w:rPr>
                <w:rFonts w:ascii="Times New Roman" w:hAnsi="Times New Roman"/>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 марта 2021 № 151 «О типовых формах документов, используемых контрольным (надзорным) органом». </w:t>
            </w:r>
          </w:p>
          <w:p>
            <w:pPr>
              <w:pStyle w:val="31"/>
              <w:widowControl w:val="0"/>
              <w:jc w:val="both"/>
              <w:rPr>
                <w:rFonts w:ascii="Times New Roman" w:hAnsi="Times New Roman"/>
                <w:sz w:val="24"/>
              </w:rPr>
            </w:pPr>
            <w:r>
              <w:rPr>
                <w:rFonts w:ascii="Times New Roman" w:hAnsi="Times New Roman"/>
                <w:sz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pPr>
              <w:pStyle w:val="31"/>
              <w:rPr>
                <w:rFonts w:ascii="Times New Roman" w:hAnsi="Times New Roman"/>
                <w:sz w:val="24"/>
              </w:rPr>
            </w:pPr>
            <w:r>
              <w:rPr>
                <w:rFonts w:ascii="Times New Roman" w:hAnsi="Times New Roman"/>
                <w:sz w:val="24"/>
              </w:rPr>
              <w:t xml:space="preserve">В случае объявления </w:t>
            </w:r>
            <w:r>
              <w:rPr>
                <w:rFonts w:ascii="Times New Roman" w:hAnsi="Times New Roman"/>
                <w:sz w:val="24"/>
                <w:szCs w:val="24"/>
              </w:rPr>
              <w:t>администрацией района</w:t>
            </w:r>
            <w:r>
              <w:rPr>
                <w:rFonts w:ascii="Times New Roman" w:hAnsi="Times New Roman"/>
                <w:sz w:val="24"/>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Pr>
                <w:rFonts w:ascii="Times New Roman" w:hAnsi="Times New Roman"/>
                <w:sz w:val="24"/>
                <w:szCs w:val="24"/>
              </w:rPr>
              <w:t>ответственными специалистами сектора земельных отношений</w:t>
            </w:r>
            <w:r>
              <w:rPr>
                <w:rFonts w:ascii="Times New Roman" w:hAnsi="Times New Roman"/>
                <w:sz w:val="24"/>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администрацией района с информацией о согласии или несогласии с возражением. В случае несогласия с возражением в ответе указываются соответствующие обоснования.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noWrap w:val="0"/>
            <w:vAlign w:val="top"/>
          </w:tcPr>
          <w:p>
            <w:pPr>
              <w:pStyle w:val="31"/>
              <w:widowControl w:val="0"/>
              <w:jc w:val="both"/>
              <w:rPr>
                <w:rFonts w:ascii="Times New Roman" w:hAnsi="Times New Roman"/>
                <w:sz w:val="24"/>
              </w:rPr>
            </w:pPr>
            <w:r>
              <w:rPr>
                <w:rFonts w:ascii="Times New Roman" w:hAnsi="Times New Roman"/>
                <w:sz w:val="24"/>
              </w:rPr>
              <w:t>Консультирование</w:t>
            </w:r>
          </w:p>
        </w:tc>
        <w:tc>
          <w:tcPr>
            <w:tcW w:w="7053" w:type="dxa"/>
            <w:noWrap w:val="0"/>
            <w:vAlign w:val="top"/>
          </w:tcPr>
          <w:p>
            <w:pPr>
              <w:pStyle w:val="31"/>
              <w:widowControl w:val="0"/>
              <w:jc w:val="both"/>
              <w:rPr>
                <w:rFonts w:ascii="Times New Roman" w:hAnsi="Times New Roman"/>
                <w:sz w:val="24"/>
              </w:rPr>
            </w:pPr>
            <w:r>
              <w:rPr>
                <w:rFonts w:ascii="Times New Roman" w:hAnsi="Times New Roman"/>
                <w:sz w:val="24"/>
              </w:rPr>
              <w:t>Консультирование контролируемых лиц осуществляется специалистами сектора земельных отношений, уполномоченными осуществлять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pPr>
              <w:pStyle w:val="31"/>
              <w:widowControl w:val="0"/>
              <w:jc w:val="both"/>
              <w:rPr>
                <w:rFonts w:ascii="Times New Roman" w:hAnsi="Times New Roman"/>
                <w:sz w:val="24"/>
              </w:rPr>
            </w:pPr>
            <w:r>
              <w:rPr>
                <w:rFonts w:ascii="Times New Roman" w:hAnsi="Times New Roman"/>
                <w:sz w:val="24"/>
              </w:rPr>
              <w:t>Личный прием граждан проводится специалистами с</w:t>
            </w:r>
            <w:r>
              <w:rPr>
                <w:rFonts w:ascii="Times New Roman" w:hAnsi="Times New Roman"/>
                <w:sz w:val="24"/>
                <w:szCs w:val="24"/>
              </w:rPr>
              <w:t>ектора земельных отношений</w:t>
            </w:r>
            <w:r>
              <w:rPr>
                <w:rFonts w:ascii="Times New Roman" w:hAnsi="Times New Roman"/>
                <w:sz w:val="24"/>
              </w:rPr>
              <w:t>, уполномоченными осуществлять лесной контроль. Информация о месте приема, а также об установленных для приема днях и часах размещается на официальном сайте Татищевского муниципального района Саратовской области в специальном разделе, посвященном контрольной деятельности.</w:t>
            </w:r>
          </w:p>
          <w:p>
            <w:pPr>
              <w:pStyle w:val="31"/>
              <w:widowControl w:val="0"/>
              <w:jc w:val="both"/>
              <w:rPr>
                <w:rFonts w:ascii="Times New Roman" w:hAnsi="Times New Roman"/>
                <w:sz w:val="24"/>
              </w:rPr>
            </w:pPr>
            <w:r>
              <w:rPr>
                <w:rFonts w:ascii="Times New Roman" w:hAnsi="Times New Roman"/>
                <w:sz w:val="24"/>
              </w:rPr>
              <w:t>Консультирование осуществляется в устной или письменной форме по следующим вопросам:</w:t>
            </w:r>
          </w:p>
          <w:p>
            <w:pPr>
              <w:pStyle w:val="31"/>
              <w:widowControl w:val="0"/>
              <w:jc w:val="both"/>
              <w:rPr>
                <w:rFonts w:ascii="Times New Roman" w:hAnsi="Times New Roman"/>
                <w:sz w:val="24"/>
              </w:rPr>
            </w:pPr>
            <w:r>
              <w:rPr>
                <w:rFonts w:ascii="Times New Roman" w:hAnsi="Times New Roman"/>
                <w:sz w:val="24"/>
              </w:rPr>
              <w:t>1) организация и осуществление муниципального контроля;</w:t>
            </w:r>
          </w:p>
          <w:p>
            <w:pPr>
              <w:pStyle w:val="31"/>
              <w:widowControl w:val="0"/>
              <w:jc w:val="both"/>
              <w:rPr>
                <w:rFonts w:ascii="Times New Roman" w:hAnsi="Times New Roman"/>
                <w:sz w:val="24"/>
              </w:rPr>
            </w:pPr>
            <w:r>
              <w:rPr>
                <w:rFonts w:ascii="Times New Roman" w:hAnsi="Times New Roman"/>
                <w:sz w:val="24"/>
              </w:rPr>
              <w:t>2) порядок осуществления контрольных мероприятий, установленных Положением об осуществлении муниципального лесного контроля на территории Татищевского муниципального района;</w:t>
            </w:r>
          </w:p>
          <w:p>
            <w:pPr>
              <w:pStyle w:val="31"/>
              <w:widowControl w:val="0"/>
              <w:jc w:val="both"/>
              <w:rPr>
                <w:rFonts w:ascii="Times New Roman" w:hAnsi="Times New Roman"/>
                <w:sz w:val="24"/>
              </w:rPr>
            </w:pPr>
            <w:r>
              <w:rPr>
                <w:rFonts w:ascii="Times New Roman" w:hAnsi="Times New Roman"/>
                <w:sz w:val="24"/>
              </w:rPr>
              <w:t>3) порядок обжалования действий (бездействия) должностных лиц, уполномоченных осуществлять муниципальный контроль;</w:t>
            </w:r>
          </w:p>
          <w:p>
            <w:pPr>
              <w:pStyle w:val="31"/>
              <w:widowControl w:val="0"/>
              <w:jc w:val="both"/>
              <w:rPr>
                <w:rFonts w:ascii="Times New Roman" w:hAnsi="Times New Roman"/>
                <w:sz w:val="24"/>
              </w:rPr>
            </w:pPr>
            <w:r>
              <w:rPr>
                <w:rFonts w:ascii="Times New Roman" w:hAnsi="Times New Roman"/>
                <w:sz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специалистами </w:t>
            </w:r>
            <w:r>
              <w:rPr>
                <w:rFonts w:ascii="Times New Roman" w:hAnsi="Times New Roman"/>
                <w:sz w:val="24"/>
                <w:szCs w:val="24"/>
              </w:rPr>
              <w:t>сектора земельных отношений</w:t>
            </w:r>
            <w:r>
              <w:rPr>
                <w:rFonts w:ascii="Times New Roman" w:hAnsi="Times New Roman"/>
                <w:sz w:val="24"/>
              </w:rPr>
              <w:t xml:space="preserve"> в рамках контрольных мероприятий.</w:t>
            </w:r>
          </w:p>
          <w:p>
            <w:pPr>
              <w:pStyle w:val="31"/>
              <w:widowControl w:val="0"/>
              <w:jc w:val="both"/>
              <w:rPr>
                <w:rFonts w:ascii="Times New Roman" w:hAnsi="Times New Roman"/>
                <w:sz w:val="24"/>
              </w:rPr>
            </w:pPr>
            <w:r>
              <w:rPr>
                <w:rFonts w:ascii="Times New Roman" w:hAnsi="Times New Roman"/>
                <w:sz w:val="24"/>
              </w:rPr>
              <w:t xml:space="preserve">Консультирование контролируемых лиц в устной форме может осуществляться также на собраниях и конференциях граждан. </w:t>
            </w:r>
          </w:p>
          <w:p>
            <w:pPr>
              <w:pStyle w:val="31"/>
              <w:widowControl w:val="0"/>
              <w:jc w:val="both"/>
              <w:rPr>
                <w:rFonts w:ascii="Times New Roman" w:hAnsi="Times New Roman"/>
                <w:sz w:val="24"/>
              </w:rPr>
            </w:pPr>
            <w:r>
              <w:rPr>
                <w:rFonts w:ascii="Times New Roman" w:hAnsi="Times New Roman"/>
                <w:sz w:val="24"/>
              </w:rPr>
              <w:t xml:space="preserve">Консультирование в письменной форме осуществляется специалистом </w:t>
            </w:r>
            <w:r>
              <w:rPr>
                <w:rFonts w:ascii="Times New Roman" w:hAnsi="Times New Roman"/>
                <w:sz w:val="24"/>
                <w:szCs w:val="24"/>
              </w:rPr>
              <w:t>сектора земельных отношений</w:t>
            </w:r>
            <w:r>
              <w:rPr>
                <w:rFonts w:ascii="Times New Roman" w:hAnsi="Times New Roman"/>
                <w:sz w:val="24"/>
              </w:rPr>
              <w:t>, уполномоченным осуществлять муниципальный контроль, в следующих случаях:</w:t>
            </w:r>
          </w:p>
          <w:p>
            <w:pPr>
              <w:pStyle w:val="31"/>
              <w:widowControl w:val="0"/>
              <w:jc w:val="both"/>
              <w:rPr>
                <w:rFonts w:ascii="Times New Roman" w:hAnsi="Times New Roman"/>
                <w:sz w:val="24"/>
              </w:rPr>
            </w:pPr>
            <w:r>
              <w:rPr>
                <w:rFonts w:ascii="Times New Roman" w:hAnsi="Times New Roman"/>
                <w:sz w:val="24"/>
              </w:rPr>
              <w:t>1) контролируемым лицом представлен письменный запрос о представлении письменного ответа по вопросам консультирования;</w:t>
            </w:r>
          </w:p>
          <w:p>
            <w:pPr>
              <w:pStyle w:val="31"/>
              <w:widowControl w:val="0"/>
              <w:jc w:val="both"/>
              <w:rPr>
                <w:rFonts w:ascii="Times New Roman" w:hAnsi="Times New Roman"/>
                <w:sz w:val="24"/>
              </w:rPr>
            </w:pPr>
            <w:r>
              <w:rPr>
                <w:rFonts w:ascii="Times New Roman" w:hAnsi="Times New Roman"/>
                <w:sz w:val="24"/>
              </w:rPr>
              <w:t>2) за время консультирования предоставить в устной форме ответ на поставленные вопросы невозможно;</w:t>
            </w:r>
          </w:p>
          <w:p>
            <w:pPr>
              <w:pStyle w:val="31"/>
              <w:widowControl w:val="0"/>
              <w:jc w:val="both"/>
              <w:rPr>
                <w:rFonts w:ascii="Times New Roman" w:hAnsi="Times New Roman"/>
                <w:sz w:val="24"/>
              </w:rPr>
            </w:pPr>
            <w:r>
              <w:rPr>
                <w:rFonts w:ascii="Times New Roman" w:hAnsi="Times New Roman"/>
                <w:sz w:val="24"/>
              </w:rPr>
              <w:t>3) ответ на поставленные вопросы требует дополнительного запроса сведений.</w:t>
            </w:r>
          </w:p>
          <w:p>
            <w:pPr>
              <w:pStyle w:val="31"/>
              <w:widowControl w:val="0"/>
              <w:jc w:val="both"/>
              <w:rPr>
                <w:rFonts w:ascii="Times New Roman" w:hAnsi="Times New Roman"/>
                <w:sz w:val="24"/>
              </w:rPr>
            </w:pPr>
            <w:r>
              <w:rPr>
                <w:rFonts w:ascii="Times New Roman" w:hAnsi="Times New Roman"/>
                <w:sz w:val="24"/>
              </w:rPr>
              <w:t>При осуществлении консультирования ответственный специалист обязан соблюдать конфиденциальность информации, доступ к которой ограничен в соответствии с законодательством Российской Федерации.</w:t>
            </w:r>
          </w:p>
          <w:p>
            <w:pPr>
              <w:pStyle w:val="31"/>
              <w:widowControl w:val="0"/>
              <w:jc w:val="both"/>
              <w:rPr>
                <w:rFonts w:ascii="Times New Roman" w:hAnsi="Times New Roman"/>
                <w:sz w:val="24"/>
              </w:rPr>
            </w:pPr>
            <w:r>
              <w:rPr>
                <w:rFonts w:ascii="Times New Roman" w:hAnsi="Times New Roman"/>
                <w:sz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pPr>
              <w:pStyle w:val="31"/>
              <w:widowControl w:val="0"/>
              <w:jc w:val="both"/>
              <w:rPr>
                <w:rFonts w:ascii="Times New Roman" w:hAnsi="Times New Roman"/>
                <w:sz w:val="24"/>
              </w:rPr>
            </w:pPr>
            <w:r>
              <w:rPr>
                <w:rFonts w:ascii="Times New Roman" w:hAnsi="Times New Roman"/>
                <w:sz w:val="24"/>
              </w:rPr>
              <w:t>Информация, ставшая известной специалисту сектора земельных отношений, уполномоченному осуществлять муниципальный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pPr>
              <w:pStyle w:val="31"/>
              <w:widowControl w:val="0"/>
              <w:jc w:val="both"/>
              <w:rPr>
                <w:rFonts w:ascii="Times New Roman" w:hAnsi="Times New Roman"/>
                <w:sz w:val="24"/>
              </w:rPr>
            </w:pPr>
            <w:r>
              <w:rPr>
                <w:rFonts w:ascii="Times New Roman" w:hAnsi="Times New Roman"/>
                <w:sz w:val="24"/>
              </w:rPr>
              <w:t xml:space="preserve">Специалистами </w:t>
            </w:r>
            <w:r>
              <w:rPr>
                <w:rFonts w:ascii="Times New Roman" w:hAnsi="Times New Roman"/>
                <w:sz w:val="24"/>
                <w:szCs w:val="24"/>
              </w:rPr>
              <w:t>сектора земельных отношений</w:t>
            </w:r>
            <w:r>
              <w:rPr>
                <w:rFonts w:ascii="Times New Roman" w:hAnsi="Times New Roman"/>
                <w:sz w:val="24"/>
              </w:rPr>
              <w:t>, уполномоченными осуществлять муниципальный контроль, ведется журнал учета консультирований.</w:t>
            </w:r>
          </w:p>
          <w:p>
            <w:pPr>
              <w:pStyle w:val="31"/>
              <w:rPr>
                <w:rFonts w:ascii="Times New Roman" w:hAnsi="Times New Roman"/>
                <w:sz w:val="24"/>
              </w:rPr>
            </w:pPr>
            <w:r>
              <w:rPr>
                <w:rFonts w:ascii="Times New Roman" w:hAnsi="Times New Roman"/>
                <w:sz w:val="24"/>
              </w:rPr>
              <w:t xml:space="preserve">В случае поступления в </w:t>
            </w:r>
            <w:r>
              <w:rPr>
                <w:rFonts w:ascii="Times New Roman" w:hAnsi="Times New Roman"/>
                <w:sz w:val="24"/>
                <w:szCs w:val="24"/>
              </w:rPr>
              <w:t>сектор земельных отношений</w:t>
            </w:r>
            <w:r>
              <w:rPr>
                <w:rFonts w:ascii="Times New Roman" w:hAnsi="Times New Roman"/>
                <w:sz w:val="24"/>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Татищевского муниципального района Саратовской области в специальном разделе, посвященном контрольной деятельности, письменного разъяснения</w:t>
            </w:r>
          </w:p>
        </w:tc>
      </w:tr>
    </w:tbl>
    <w:p>
      <w:pPr>
        <w:pStyle w:val="31"/>
        <w:jc w:val="both"/>
        <w:rPr>
          <w:rFonts w:ascii="Times New Roman" w:hAnsi="Times New Roman"/>
          <w:sz w:val="28"/>
        </w:rPr>
      </w:pPr>
    </w:p>
    <w:p>
      <w:pPr>
        <w:pStyle w:val="31"/>
        <w:jc w:val="both"/>
        <w:rPr>
          <w:rFonts w:ascii="Times New Roman" w:hAnsi="Times New Roman"/>
          <w:sz w:val="28"/>
        </w:rPr>
      </w:pPr>
      <w:r>
        <w:rPr>
          <w:rFonts w:ascii="Times New Roman" w:hAnsi="Times New Roman"/>
          <w:sz w:val="28"/>
        </w:rPr>
        <w:tab/>
      </w:r>
    </w:p>
    <w:p>
      <w:pPr>
        <w:pStyle w:val="31"/>
        <w:jc w:val="center"/>
        <w:rPr>
          <w:rFonts w:ascii="Times New Roman" w:hAnsi="Times New Roman"/>
          <w:b/>
          <w:sz w:val="28"/>
        </w:rPr>
      </w:pPr>
      <w:r>
        <w:rPr>
          <w:rFonts w:ascii="Times New Roman" w:hAnsi="Times New Roman"/>
          <w:b/>
          <w:sz w:val="28"/>
          <w:lang w:val="en-US"/>
        </w:rPr>
        <w:t>IV</w:t>
      </w:r>
      <w:r>
        <w:rPr>
          <w:rFonts w:ascii="Times New Roman" w:hAnsi="Times New Roman"/>
          <w:b/>
          <w:sz w:val="28"/>
        </w:rPr>
        <w:t xml:space="preserve">. Показатели результативности и эффективности </w:t>
      </w:r>
    </w:p>
    <w:p>
      <w:pPr>
        <w:pStyle w:val="31"/>
        <w:jc w:val="center"/>
        <w:rPr>
          <w:rFonts w:ascii="Times New Roman" w:hAnsi="Times New Roman"/>
          <w:b/>
          <w:sz w:val="28"/>
        </w:rPr>
      </w:pPr>
      <w:r>
        <w:rPr>
          <w:rFonts w:ascii="Times New Roman" w:hAnsi="Times New Roman"/>
          <w:b/>
          <w:sz w:val="28"/>
        </w:rPr>
        <w:t>программы профилактики</w:t>
      </w:r>
    </w:p>
    <w:p>
      <w:pPr>
        <w:pStyle w:val="31"/>
        <w:jc w:val="center"/>
        <w:rPr>
          <w:rFonts w:ascii="Times New Roman" w:hAnsi="Times New Roman"/>
          <w:b/>
          <w:sz w:val="28"/>
        </w:rPr>
      </w:pP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Показателями результативности и эффективности программы профилактики являются:</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а) отсутствие зарегистрированных (выявленных) незаконных рубок на территории городских лесов;</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б) отсутствие пожаров на территории городских лесов, вызванных нарушением правил пожарной безопасности;</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в) уменьшение количества выявленных мест несанкционированного размещения отходов на территории городских лесов.</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г) доля нарушений, выявленных в ходе проведения контрольных мероприятий, от общего числа контрольных мероприятий, осуществленных в отношении контролируемых лиц – 60 %.</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д) доля профилактических мероприятий в объеме контрольных мероприятий - 60 %.</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pPr>
        <w:pStyle w:val="31"/>
        <w:jc w:val="both"/>
        <w:rPr>
          <w:rFonts w:ascii="Times New Roman" w:hAnsi="Times New Roman"/>
          <w:sz w:val="28"/>
        </w:rPr>
      </w:pPr>
      <w:r>
        <w:rPr>
          <w:rFonts w:ascii="Times New Roman" w:hAnsi="Times New Roman"/>
          <w:sz w:val="28"/>
        </w:rPr>
        <w:tab/>
      </w:r>
      <w:r>
        <w:rPr>
          <w:rFonts w:ascii="Times New Roman" w:hAnsi="Times New Roman"/>
          <w:sz w:val="28"/>
        </w:rPr>
        <w:t xml:space="preserve">е) полнота информации, размещенной на официальном сайте </w:t>
      </w:r>
      <w:r>
        <w:rPr>
          <w:rFonts w:ascii="Times New Roman" w:hAnsi="Times New Roman"/>
          <w:sz w:val="28"/>
          <w:szCs w:val="28"/>
        </w:rPr>
        <w:t>Татищевского муниципального района Саратовской области</w:t>
      </w:r>
      <w:r>
        <w:rPr>
          <w:rFonts w:ascii="Times New Roman" w:hAnsi="Times New Roman"/>
          <w:sz w:val="28"/>
        </w:rPr>
        <w:t xml:space="preserve"> в информационно-телекоммуникационной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 - 100%;</w:t>
      </w:r>
    </w:p>
    <w:p>
      <w:pPr>
        <w:pStyle w:val="31"/>
        <w:jc w:val="both"/>
        <w:rPr>
          <w:rFonts w:ascii="Times New Roman" w:hAnsi="Times New Roman"/>
          <w:sz w:val="28"/>
          <w:szCs w:val="28"/>
        </w:rPr>
      </w:pPr>
      <w:r>
        <w:rPr>
          <w:rFonts w:ascii="Times New Roman" w:hAnsi="Times New Roman"/>
          <w:sz w:val="28"/>
        </w:rPr>
        <w:tab/>
      </w:r>
      <w:r>
        <w:rPr>
          <w:rFonts w:ascii="Times New Roman" w:hAnsi="Times New Roman"/>
          <w:sz w:val="28"/>
        </w:rPr>
        <w:t>ж) доля лиц, удовлетворённых консультированием, в общем количестве лиц, обратившихся за консультированием – 100 %.</w:t>
      </w:r>
    </w:p>
    <w:p>
      <w:pPr>
        <w:pStyle w:val="31"/>
        <w:jc w:val="both"/>
        <w:rPr>
          <w:rFonts w:ascii="Times New Roman" w:hAnsi="Times New Roman"/>
          <w:sz w:val="28"/>
          <w:szCs w:val="28"/>
        </w:rPr>
      </w:pPr>
      <w:r>
        <w:rPr>
          <w:rFonts w:ascii="Times New Roman" w:hAnsi="Times New Roman"/>
          <w:sz w:val="28"/>
        </w:rPr>
        <w:tab/>
      </w:r>
    </w:p>
    <w:p/>
    <w:sectPr>
      <w:pgSz w:w="11906" w:h="16838"/>
      <w:pgMar w:top="142" w:right="566" w:bottom="142" w:left="1050" w:header="0" w:footer="0" w:gutter="0"/>
      <w:pgNumType w:fmt="decimal"/>
      <w:cols w:space="720" w:num="1"/>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微软雅黑"/>
    <w:panose1 w:val="02010609060101010101"/>
    <w:charset w:val="00"/>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egoe UI">
    <w:panose1 w:val="020B0502040204020203"/>
    <w:charset w:val="CC"/>
    <w:family w:val="roman"/>
    <w:pitch w:val="default"/>
    <w:sig w:usb0="E4002EFF" w:usb1="C000E47F" w:usb2="00000009" w:usb3="00000000" w:csb0="200001FF" w:csb1="00000000"/>
  </w:font>
  <w:font w:name="Liberation Sans">
    <w:panose1 w:val="020B0604020202020204"/>
    <w:charset w:val="CC"/>
    <w:family w:val="swiss"/>
    <w:pitch w:val="default"/>
    <w:sig w:usb0="E0000AFF" w:usb1="500078FF" w:usb2="00000021" w:usb3="00000000" w:csb0="600001BF" w:csb1="DFF70000"/>
  </w:font>
  <w:font w:name="Microsoft YaHei">
    <w:panose1 w:val="020B0503020204020204"/>
    <w:charset w:val="86"/>
    <w:family w:val="auto"/>
    <w:pitch w:val="default"/>
    <w:sig w:usb0="80000287" w:usb1="28CF3C50" w:usb2="00000016" w:usb3="00000000" w:csb0="0004001F" w:csb1="00000000"/>
  </w:font>
  <w:font w:name="Mangal">
    <w:altName w:val="Gubb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306"/>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FD64F8"/>
    <w:rsid w:val="5CEBFB18"/>
    <w:rsid w:val="5FBD04F4"/>
    <w:rsid w:val="72F3D84B"/>
    <w:rsid w:val="7EBF542D"/>
    <w:rsid w:val="7FBFD83B"/>
    <w:rsid w:val="7FD1A07B"/>
    <w:rsid w:val="F9FF0B0C"/>
    <w:rsid w:val="FCF54F90"/>
  </w:rsids>
  <m:mathPr>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suppressAutoHyphens/>
      <w:bidi w:val="0"/>
      <w:spacing w:before="0" w:after="200" w:line="276" w:lineRule="auto"/>
      <w:jc w:val="left"/>
    </w:pPr>
    <w:rPr>
      <w:rFonts w:ascii="Calibri" w:hAnsi="Calibri" w:eastAsiaTheme="minorEastAsia" w:cstheme="minorBidi"/>
      <w:color w:val="00000A"/>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Balloon Text"/>
    <w:basedOn w:val="1"/>
    <w:semiHidden/>
    <w:unhideWhenUsed/>
    <w:qFormat/>
    <w:uiPriority w:val="99"/>
    <w:pPr>
      <w:spacing w:before="0" w:after="0" w:line="240" w:lineRule="auto"/>
    </w:pPr>
    <w:rPr>
      <w:rFonts w:ascii="Segoe UI" w:hAnsi="Segoe UI" w:cs="Segoe UI"/>
      <w:sz w:val="18"/>
      <w:szCs w:val="18"/>
    </w:rPr>
  </w:style>
  <w:style w:type="paragraph" w:styleId="6">
    <w:name w:val="Normal (Web)"/>
    <w:basedOn w:val="1"/>
    <w:semiHidden/>
    <w:unhideWhenUsed/>
    <w:qFormat/>
    <w:uiPriority w:val="99"/>
    <w:pPr>
      <w:spacing w:before="280" w:after="280" w:line="240" w:lineRule="auto"/>
    </w:pPr>
    <w:rPr>
      <w:rFonts w:ascii="Times New Roman" w:hAnsi="Times New Roman" w:eastAsia="Times New Roman" w:cs="Times New Roman"/>
      <w:sz w:val="24"/>
      <w:szCs w:val="24"/>
    </w:rPr>
  </w:style>
  <w:style w:type="table" w:styleId="7">
    <w:name w:val="Table Grid"/>
    <w:basedOn w:val="3"/>
    <w:qFormat/>
    <w:uiPriority w:val="59"/>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8">
    <w:name w:val="Заголовок 11"/>
    <w:basedOn w:val="1"/>
    <w:link w:val="9"/>
    <w:qFormat/>
    <w:uiPriority w:val="0"/>
    <w:pPr>
      <w:keepNext/>
      <w:widowControl w:val="0"/>
      <w:tabs>
        <w:tab w:val="left" w:pos="0"/>
      </w:tabs>
      <w:suppressAutoHyphens/>
      <w:spacing w:before="0" w:after="0" w:line="240" w:lineRule="auto"/>
      <w:ind w:firstLine="720"/>
      <w:outlineLvl w:val="0"/>
    </w:pPr>
    <w:rPr>
      <w:rFonts w:ascii="Arial" w:hAnsi="Arial" w:eastAsia="Times New Roman" w:cs="Arial"/>
      <w:b/>
      <w:i/>
      <w:sz w:val="28"/>
      <w:szCs w:val="20"/>
      <w:lang w:eastAsia="zh-CN"/>
    </w:rPr>
  </w:style>
  <w:style w:type="character" w:customStyle="1" w:styleId="9">
    <w:name w:val="Заголовок 1 Знак"/>
    <w:basedOn w:val="2"/>
    <w:link w:val="8"/>
    <w:qFormat/>
    <w:uiPriority w:val="0"/>
    <w:rPr>
      <w:rFonts w:ascii="Arial" w:hAnsi="Arial" w:eastAsia="Times New Roman" w:cs="Arial"/>
      <w:b/>
      <w:i/>
      <w:sz w:val="28"/>
      <w:szCs w:val="20"/>
      <w:lang w:eastAsia="zh-CN"/>
    </w:rPr>
  </w:style>
  <w:style w:type="character" w:customStyle="1" w:styleId="10">
    <w:name w:val="Выделение1"/>
    <w:basedOn w:val="2"/>
    <w:qFormat/>
    <w:uiPriority w:val="0"/>
    <w:rPr>
      <w:i/>
      <w:iCs/>
    </w:rPr>
  </w:style>
  <w:style w:type="character" w:customStyle="1" w:styleId="11">
    <w:name w:val="Верхний колонтитул Знак"/>
    <w:basedOn w:val="2"/>
    <w:qFormat/>
    <w:uiPriority w:val="99"/>
    <w:rPr>
      <w:rFonts w:eastAsiaTheme="minorEastAsia"/>
      <w:lang w:eastAsia="ru-RU"/>
    </w:rPr>
  </w:style>
  <w:style w:type="character" w:customStyle="1" w:styleId="12">
    <w:name w:val="Нижний колонтитул Знак"/>
    <w:basedOn w:val="2"/>
    <w:qFormat/>
    <w:uiPriority w:val="99"/>
    <w:rPr>
      <w:rFonts w:eastAsiaTheme="minorEastAsia"/>
      <w:lang w:eastAsia="ru-RU"/>
    </w:rPr>
  </w:style>
  <w:style w:type="character" w:customStyle="1" w:styleId="13">
    <w:name w:val="Текст выноски Знак"/>
    <w:basedOn w:val="2"/>
    <w:semiHidden/>
    <w:qFormat/>
    <w:uiPriority w:val="99"/>
    <w:rPr>
      <w:rFonts w:ascii="Segoe UI" w:hAnsi="Segoe UI" w:cs="Segoe UI" w:eastAsiaTheme="minorEastAsia"/>
      <w:sz w:val="18"/>
      <w:szCs w:val="18"/>
      <w:lang w:eastAsia="ru-RU"/>
    </w:rPr>
  </w:style>
  <w:style w:type="character" w:customStyle="1" w:styleId="14">
    <w:name w:val="Интернет-ссылка"/>
    <w:basedOn w:val="2"/>
    <w:semiHidden/>
    <w:unhideWhenUsed/>
    <w:qFormat/>
    <w:uiPriority w:val="99"/>
    <w:rPr>
      <w:color w:val="0000FF"/>
      <w:u w:val="single"/>
      <w:lang w:val="zh-CN" w:eastAsia="zh-CN" w:bidi="zh-CN"/>
    </w:rPr>
  </w:style>
  <w:style w:type="character" w:customStyle="1" w:styleId="15">
    <w:name w:val="ListLabel 1"/>
    <w:qFormat/>
    <w:uiPriority w:val="0"/>
    <w:rPr>
      <w:rFonts w:cs="Times New Roman"/>
    </w:rPr>
  </w:style>
  <w:style w:type="paragraph" w:customStyle="1" w:styleId="16">
    <w:name w:val="Заголовок"/>
    <w:basedOn w:val="1"/>
    <w:next w:val="17"/>
    <w:qFormat/>
    <w:uiPriority w:val="0"/>
    <w:pPr>
      <w:keepNext/>
      <w:spacing w:before="240" w:after="120"/>
    </w:pPr>
    <w:rPr>
      <w:rFonts w:ascii="Liberation Sans" w:hAnsi="Liberation Sans" w:eastAsia="Microsoft YaHei" w:cs="Mangal"/>
      <w:sz w:val="28"/>
      <w:szCs w:val="28"/>
    </w:rPr>
  </w:style>
  <w:style w:type="paragraph" w:customStyle="1" w:styleId="17">
    <w:name w:val="Основной текст1"/>
    <w:basedOn w:val="1"/>
    <w:qFormat/>
    <w:uiPriority w:val="0"/>
    <w:pPr>
      <w:spacing w:before="0" w:after="140" w:line="288" w:lineRule="auto"/>
    </w:pPr>
  </w:style>
  <w:style w:type="paragraph" w:customStyle="1" w:styleId="18">
    <w:name w:val="Список1"/>
    <w:basedOn w:val="17"/>
    <w:qFormat/>
    <w:uiPriority w:val="0"/>
    <w:rPr>
      <w:rFonts w:cs="Mangal"/>
    </w:rPr>
  </w:style>
  <w:style w:type="paragraph" w:customStyle="1" w:styleId="19">
    <w:name w:val="Название1"/>
    <w:basedOn w:val="1"/>
    <w:qFormat/>
    <w:uiPriority w:val="0"/>
    <w:pPr>
      <w:suppressLineNumbers/>
      <w:spacing w:before="120" w:after="120"/>
    </w:pPr>
    <w:rPr>
      <w:rFonts w:cs="Mangal"/>
      <w:i/>
      <w:iCs/>
      <w:sz w:val="24"/>
      <w:szCs w:val="24"/>
    </w:rPr>
  </w:style>
  <w:style w:type="paragraph" w:customStyle="1" w:styleId="20">
    <w:name w:val="Указатель1"/>
    <w:basedOn w:val="1"/>
    <w:qFormat/>
    <w:uiPriority w:val="0"/>
    <w:pPr>
      <w:suppressLineNumbers/>
    </w:pPr>
    <w:rPr>
      <w:rFonts w:cs="Mangal"/>
    </w:rPr>
  </w:style>
  <w:style w:type="paragraph" w:styleId="21">
    <w:name w:val="List Paragraph"/>
    <w:basedOn w:val="1"/>
    <w:qFormat/>
    <w:uiPriority w:val="34"/>
    <w:pPr>
      <w:spacing w:before="0" w:after="200"/>
      <w:ind w:left="720" w:firstLine="0"/>
      <w:contextualSpacing/>
    </w:pPr>
  </w:style>
  <w:style w:type="paragraph" w:customStyle="1" w:styleId="22">
    <w:name w:val="consplusnonformat"/>
    <w:basedOn w:val="1"/>
    <w:qFormat/>
    <w:uiPriority w:val="0"/>
    <w:pPr>
      <w:spacing w:before="280" w:after="280" w:line="240" w:lineRule="auto"/>
    </w:pPr>
    <w:rPr>
      <w:rFonts w:ascii="Times New Roman" w:hAnsi="Times New Roman" w:eastAsia="Times New Roman" w:cs="Times New Roman"/>
      <w:sz w:val="24"/>
      <w:szCs w:val="24"/>
    </w:rPr>
  </w:style>
  <w:style w:type="paragraph" w:customStyle="1" w:styleId="23">
    <w:name w:val="Верхний колонтитул1"/>
    <w:basedOn w:val="1"/>
    <w:unhideWhenUsed/>
    <w:qFormat/>
    <w:uiPriority w:val="99"/>
    <w:pPr>
      <w:tabs>
        <w:tab w:val="center" w:pos="4677"/>
        <w:tab w:val="right" w:pos="9355"/>
      </w:tabs>
      <w:spacing w:before="0" w:after="0" w:line="240" w:lineRule="auto"/>
    </w:pPr>
  </w:style>
  <w:style w:type="paragraph" w:customStyle="1" w:styleId="24">
    <w:name w:val="Нижний колонтитул1"/>
    <w:basedOn w:val="1"/>
    <w:unhideWhenUsed/>
    <w:qFormat/>
    <w:uiPriority w:val="99"/>
    <w:pPr>
      <w:tabs>
        <w:tab w:val="center" w:pos="4677"/>
        <w:tab w:val="right" w:pos="9355"/>
      </w:tabs>
      <w:spacing w:before="0" w:after="0" w:line="240" w:lineRule="auto"/>
    </w:pPr>
  </w:style>
  <w:style w:type="paragraph" w:customStyle="1" w:styleId="25">
    <w:name w:val="Содержимое врезки"/>
    <w:basedOn w:val="1"/>
    <w:qFormat/>
    <w:uiPriority w:val="0"/>
  </w:style>
  <w:style w:type="paragraph" w:customStyle="1" w:styleId="26">
    <w:name w:val="Содержимое таблицы"/>
    <w:basedOn w:val="1"/>
    <w:qFormat/>
    <w:uiPriority w:val="0"/>
  </w:style>
  <w:style w:type="paragraph" w:customStyle="1" w:styleId="27">
    <w:name w:val="Заголовок таблицы"/>
    <w:basedOn w:val="26"/>
    <w:qFormat/>
    <w:uiPriority w:val="0"/>
  </w:style>
  <w:style w:type="paragraph" w:customStyle="1" w:styleId="28">
    <w:name w:val="ConsPlusNormal"/>
    <w:qFormat/>
    <w:uiPriority w:val="0"/>
    <w:pPr>
      <w:widowControl w:val="0"/>
      <w:suppressAutoHyphens/>
      <w:autoSpaceDE w:val="0"/>
    </w:pPr>
    <w:rPr>
      <w:rFonts w:ascii="Times New Roman" w:hAnsi="Times New Roman" w:eastAsia="Times New Roman" w:cs="Calibri"/>
      <w:sz w:val="22"/>
      <w:lang w:val="ru-RU" w:eastAsia="zh-CN" w:bidi="ar-SA"/>
    </w:rPr>
  </w:style>
  <w:style w:type="paragraph" w:customStyle="1" w:styleId="29">
    <w:name w:val="Normal (Web)"/>
    <w:basedOn w:val="1"/>
    <w:qFormat/>
    <w:uiPriority w:val="7"/>
    <w:pPr>
      <w:widowControl/>
      <w:spacing w:before="100" w:after="100"/>
      <w:ind w:left="150" w:right="150" w:firstLine="0"/>
      <w:jc w:val="both"/>
      <w:textAlignment w:val="auto"/>
    </w:pPr>
    <w:rPr>
      <w:rFonts w:ascii="Arial" w:hAnsi="Arial" w:eastAsia="Arial"/>
      <w:color w:val="000044"/>
      <w:sz w:val="18"/>
      <w:lang w:val="ru-RU" w:eastAsia="ar-SA"/>
    </w:rPr>
  </w:style>
  <w:style w:type="paragraph" w:customStyle="1" w:styleId="30">
    <w:name w:val="Обычный (веб)1"/>
    <w:basedOn w:val="1"/>
    <w:qFormat/>
    <w:uiPriority w:val="0"/>
    <w:pPr>
      <w:suppressAutoHyphens/>
      <w:spacing w:before="150" w:after="150" w:line="240" w:lineRule="auto"/>
      <w:ind w:firstLine="375"/>
    </w:pPr>
    <w:rPr>
      <w:rFonts w:ascii="Times New Roman" w:hAnsi="Times New Roman" w:eastAsia="Times New Roman"/>
      <w:sz w:val="24"/>
      <w:szCs w:val="24"/>
      <w:lang w:eastAsia="zh-CN"/>
    </w:rPr>
  </w:style>
  <w:style w:type="paragraph" w:styleId="31">
    <w:name w:val="No Spacing"/>
    <w:qFormat/>
    <w:uiPriority w:val="1"/>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ragraphs>214</Paragraphs>
  <TotalTime>3</TotalTime>
  <ScaleCrop>false</ScaleCrop>
  <LinksUpToDate>false</LinksUpToDate>
  <Application>WPS Office_11.1.0.10161_F1E327BC-269C-435d-A152-05C5408002CA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2013-08-04T00:36:00Z</dcterms:created>
  <dc:creator>shubinajj@adm.tatishevomr</dc:creator>
  <cp:lastModifiedBy>shubinajj@adm.tatishevomr</cp:lastModifiedBy>
  <cp:lastPrinted>2021-12-16T15:09:00Z</cp:lastPrinted>
  <dcterms:modified xsi:type="dcterms:W3CDTF">2022-10-04T16:14:17Z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1049-11.1.0.10161</vt:lpwstr>
  </property>
</Properties>
</file>