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="0" w:after="200" w:line="240" w:lineRule="auto"/>
        <w:ind w:firstLine="7560" w:firstLineChars="270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>
      <w:pPr>
        <w:spacing w:before="0" w:after="200" w:line="240" w:lineRule="auto"/>
        <w:ind w:firstLine="6300" w:firstLineChars="22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</w:t>
      </w:r>
    </w:p>
    <w:p>
      <w:pPr>
        <w:spacing w:before="0" w:after="200" w:line="240" w:lineRule="auto"/>
        <w:ind w:left="6379" w:firstLine="0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Татищевского муниципального </w:t>
      </w:r>
    </w:p>
    <w:p>
      <w:pPr>
        <w:spacing w:before="0" w:after="200" w:line="240" w:lineRule="auto"/>
        <w:ind w:left="6379" w:firstLine="0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  </w:t>
      </w:r>
    </w:p>
    <w:p>
      <w:pPr>
        <w:spacing w:before="0" w:after="200" w:line="240" w:lineRule="auto"/>
        <w:ind w:left="6379" w:firstLine="0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______________ №_________     </w:t>
      </w:r>
    </w:p>
    <w:p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границах Татищевского муниципального района Саратовской области </w:t>
      </w:r>
      <w:r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года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границах Татищевского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муниципального контроля в сфере муниципального земельного контроля осуществляет </w:t>
      </w:r>
      <w:r>
        <w:rPr>
          <w:rFonts w:ascii="Times New Roman" w:hAnsi="Times New Roman"/>
          <w:sz w:val="28"/>
          <w:szCs w:val="28"/>
          <w:lang w:val="ru-RU"/>
        </w:rPr>
        <w:t>сектор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земельных отношений </w:t>
      </w:r>
      <w:r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NewRomanPSMT" w:cs="Times New Roman"/>
          <w:kern w:val="1"/>
          <w:sz w:val="28"/>
          <w:szCs w:val="28"/>
          <w:lang w:bidi="hi-IN"/>
        </w:rPr>
        <w:t>сельского хозяйства, предпринимательства,  земельных и имущественных отношений администрации района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  <w:lang w:val="ru-RU"/>
        </w:rPr>
        <w:t>сектор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земельных отношений)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08" w:firstLineChars="0"/>
        <w:jc w:val="both"/>
        <w:rPr>
          <w:rFonts w:hint="default" w:ascii="Times New Roman" w:hAnsi="Times New Roman" w:eastAsia="Arial"/>
          <w:sz w:val="28"/>
          <w:szCs w:val="28"/>
          <w:lang w:val="ru-RU"/>
        </w:rPr>
      </w:pPr>
      <w:r>
        <w:rPr>
          <w:rFonts w:ascii="Times New Roman" w:hAnsi="Times New Roman" w:eastAsia="Arial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статьи 72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в соответствии с П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оложени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о муниципальном земельном контроле в границах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Татищевского муниципального района Саратовской области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утверждённым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ешени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муниципального Собрания Татищевского муниципального района Саратовской области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22.09.2021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44/165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widowControl w:val="0"/>
        <w:autoSpaceDE w:val="0"/>
        <w:autoSpaceDN w:val="0"/>
        <w:adjustRightInd w:val="0"/>
        <w:spacing w:line="276" w:lineRule="auto"/>
        <w:ind w:left="6" w:leftChars="0" w:firstLine="606" w:firstLineChars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 осуществлении муниципального земельного контроля специалистом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сектора земельных отношений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осуществляет контроль за соблюдением</w:t>
      </w:r>
      <w:r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 и физическими лицами: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в)обязательных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участки, а так же обладающие правом владения, пользования, распоряжения землями, земельными участками, частью земельного участка в границах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границах Татищевского муниципального района Саратовской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>
      <w:pPr>
        <w:pStyle w:val="28"/>
        <w:spacing w:line="20" w:lineRule="atLeast"/>
        <w:ind w:firstLine="708"/>
        <w:jc w:val="both"/>
        <w:rPr>
          <w:rFonts w:cs="Times New Roman"/>
          <w:sz w:val="28"/>
          <w:szCs w:val="28"/>
          <w:lang w:val="ru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при осуществлении муниципального земельного контроля</w:t>
      </w:r>
      <w:r>
        <w:rPr>
          <w:color w:val="000000"/>
          <w:sz w:val="28"/>
          <w:szCs w:val="28"/>
          <w:lang w:val="ru"/>
        </w:rPr>
        <w:t xml:space="preserve"> </w:t>
      </w:r>
      <w:r>
        <w:rPr>
          <w:sz w:val="28"/>
          <w:szCs w:val="28"/>
        </w:rPr>
        <w:t>проведение профилактических мероприятий является приоритетным по отношению к контрольным мероприятиям.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bCs/>
          <w:sz w:val="28"/>
          <w:szCs w:val="28"/>
        </w:rPr>
        <w:t>В целях предупреждения нарушений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 обязательных требований, </w:t>
      </w:r>
      <w:r>
        <w:rPr>
          <w:rFonts w:ascii="Times New Roman" w:hAnsi="Times New Roman"/>
          <w:bCs/>
          <w:sz w:val="28"/>
          <w:szCs w:val="28"/>
        </w:rPr>
        <w:t xml:space="preserve">устранения причин, факторов и условий, способствующих нарушениям,  </w:t>
      </w:r>
      <w:r>
        <w:rPr>
          <w:rFonts w:ascii="Times New Roman" w:hAnsi="Times New Roman"/>
          <w:bCs/>
          <w:sz w:val="28"/>
          <w:szCs w:val="28"/>
          <w:lang w:val="ru-RU"/>
        </w:rPr>
        <w:t>постановлением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Татищевского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была утверждена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Татищевского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муниципального района Саратовкой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год.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В соответствии с частью 3 статьи 46 Федерального закона № 248-ФЗ, в целях профилактики нарушений обязательных требований, в том числе в рамках исполнения программы профилактики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  <w:lang w:val="ru"/>
        </w:rPr>
        <w:t xml:space="preserve"> год, </w:t>
      </w:r>
      <w:r>
        <w:rPr>
          <w:sz w:val="28"/>
          <w:szCs w:val="28"/>
          <w:lang w:val="ru-RU"/>
        </w:rPr>
        <w:t>сектором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земельных</w:t>
      </w:r>
      <w:r>
        <w:rPr>
          <w:rFonts w:hint="default"/>
          <w:sz w:val="28"/>
          <w:szCs w:val="28"/>
          <w:lang w:val="ru-RU"/>
        </w:rPr>
        <w:t xml:space="preserve"> земельных отношений </w:t>
      </w:r>
      <w:r>
        <w:rPr>
          <w:sz w:val="28"/>
          <w:szCs w:val="28"/>
          <w:lang w:val="ru"/>
        </w:rPr>
        <w:t xml:space="preserve">посредством размещения информации </w:t>
      </w:r>
      <w:r>
        <w:rPr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а официальном сайте Татищевского муниципального района Саратовской области в сети «Интернет»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sz w:val="28"/>
          <w:szCs w:val="28"/>
          <w:lang w:val="ru"/>
        </w:rPr>
        <w:t xml:space="preserve"> проводилось</w:t>
      </w:r>
      <w:r>
        <w:rPr>
          <w:sz w:val="28"/>
          <w:szCs w:val="28"/>
        </w:rPr>
        <w:t xml:space="preserve"> информирование субъектов профилактики, </w:t>
      </w:r>
      <w:r>
        <w:rPr>
          <w:sz w:val="28"/>
          <w:szCs w:val="28"/>
          <w:lang w:val="ru"/>
        </w:rPr>
        <w:t xml:space="preserve">давались </w:t>
      </w:r>
      <w:r>
        <w:rPr>
          <w:sz w:val="28"/>
          <w:szCs w:val="28"/>
        </w:rPr>
        <w:t>разъяснения</w:t>
      </w:r>
      <w:r>
        <w:rPr>
          <w:sz w:val="28"/>
          <w:szCs w:val="28"/>
          <w:lang w:val="ru"/>
        </w:rPr>
        <w:t>, в том числе через социальные сети, средства массовой информации,</w:t>
      </w:r>
      <w:r>
        <w:rPr>
          <w:sz w:val="28"/>
          <w:szCs w:val="28"/>
        </w:rPr>
        <w:t xml:space="preserve"> по вопросам, связанным с осуществлением муниципального земельного контроля</w:t>
      </w:r>
      <w:r>
        <w:rPr>
          <w:sz w:val="28"/>
          <w:szCs w:val="28"/>
          <w:lang w:val="ru"/>
        </w:rPr>
        <w:t>.</w:t>
      </w:r>
    </w:p>
    <w:p>
      <w:pPr>
        <w:pStyle w:val="28"/>
        <w:spacing w:line="20" w:lineRule="atLeast"/>
        <w:ind w:firstLine="540"/>
        <w:jc w:val="both"/>
        <w:rPr>
          <w:rFonts w:cs="Times New Roman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 xml:space="preserve">В рамках профилактики </w:t>
      </w:r>
      <w:r>
        <w:rPr>
          <w:color w:val="000000"/>
          <w:sz w:val="28"/>
          <w:szCs w:val="28"/>
          <w:lang w:val="ru-RU"/>
        </w:rPr>
        <w:t>осуществлялись</w:t>
      </w:r>
      <w:r>
        <w:rPr>
          <w:rFonts w:hint="default"/>
          <w:color w:val="000000"/>
          <w:sz w:val="28"/>
          <w:szCs w:val="28"/>
          <w:lang w:val="ru-RU"/>
        </w:rPr>
        <w:t xml:space="preserve"> профилактические визиты даны разъяснения </w:t>
      </w:r>
      <w:r>
        <w:rPr>
          <w:color w:val="000000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cs="Times New Roman"/>
          <w:sz w:val="28"/>
          <w:szCs w:val="28"/>
          <w:lang w:val="ru"/>
        </w:rPr>
        <w:t>, требований, установленных муниципальными правовыми актами.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земельные участки, и использование земельных участков не по целевому назначению.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Основными проблемами в сфере осуществления земельного контроля, на решение которых направлена Программа, являются: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- недостаточная правовая грамотность субъектов профилактики об обязательных требованиях, подлежащих исполнению, при осуществлении предпринимательской (хозяйственной) деятельности;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"/>
        </w:rPr>
        <w:t xml:space="preserve">- несвоевременное устранение </w:t>
      </w:r>
      <w:r>
        <w:rPr>
          <w:sz w:val="28"/>
          <w:szCs w:val="28"/>
        </w:rPr>
        <w:t>причин, факторов и условий, способствующих нарушениям обязательных требований;</w:t>
      </w:r>
    </w:p>
    <w:p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 xml:space="preserve">- отсутствие </w:t>
      </w:r>
      <w:r>
        <w:rPr>
          <w:rFonts w:ascii="Times New Roman" w:hAnsi="Times New Roman"/>
          <w:sz w:val="28"/>
          <w:szCs w:val="28"/>
          <w:lang w:val="ru"/>
        </w:rPr>
        <w:t>заинтересованности субъектов профилактики в соблюдении обязательных требований, а также осознания неизбежности и неотвратимости наказания за нарушение обязательных требований.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"/>
        </w:rPr>
        <w:t>В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"/>
        </w:rPr>
        <w:t xml:space="preserve"> году объектами при осуществлении муниципального земельного контроля  являются </w:t>
      </w:r>
      <w:r>
        <w:rPr>
          <w:rFonts w:ascii="Times New Roman" w:hAnsi="Times New Roman"/>
          <w:sz w:val="28"/>
          <w:szCs w:val="28"/>
        </w:rPr>
        <w:t>объекты земельных отношений (земли, земельные участки или части земельных участков), расположенные в границах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Татищевского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28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Перечни земельных участков размещаются и поддерживаются в актуальном состоянии на официальном сайте администрации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Татищевского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муниципального района Саратовской области</w:t>
      </w:r>
      <w:r>
        <w:rPr>
          <w:rFonts w:cs="Times New Roman"/>
          <w:sz w:val="28"/>
          <w:szCs w:val="28"/>
        </w:rPr>
        <w:t xml:space="preserve">. По запросу правообладателя земельного участка </w:t>
      </w:r>
      <w:r>
        <w:rPr>
          <w:rFonts w:cs="Times New Roman"/>
          <w:sz w:val="28"/>
          <w:szCs w:val="28"/>
          <w:lang w:val="ru-RU"/>
        </w:rPr>
        <w:t>администрацией</w:t>
      </w:r>
      <w:r>
        <w:rPr>
          <w:rFonts w:hint="default" w:cs="Times New Roman"/>
          <w:sz w:val="28"/>
          <w:szCs w:val="28"/>
          <w:lang w:val="ru-RU"/>
        </w:rPr>
        <w:t xml:space="preserve"> района</w:t>
      </w:r>
      <w:r>
        <w:rPr>
          <w:rFonts w:cs="Times New Roman"/>
          <w:sz w:val="28"/>
          <w:szCs w:val="28"/>
        </w:rPr>
        <w:t xml:space="preserve">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 Правообладатель земельного участка вправе подать в </w:t>
      </w:r>
      <w:r>
        <w:rPr>
          <w:rFonts w:cs="Times New Roman"/>
          <w:sz w:val="28"/>
          <w:szCs w:val="28"/>
          <w:lang w:val="ru-RU"/>
        </w:rPr>
        <w:t>администрацию</w:t>
      </w:r>
      <w:r>
        <w:rPr>
          <w:rFonts w:hint="default" w:cs="Times New Roman"/>
          <w:sz w:val="28"/>
          <w:szCs w:val="28"/>
          <w:lang w:val="ru-RU"/>
        </w:rPr>
        <w:t xml:space="preserve"> района</w:t>
      </w:r>
      <w:r>
        <w:rPr>
          <w:rFonts w:cs="Times New Roman"/>
          <w:sz w:val="28"/>
          <w:szCs w:val="28"/>
        </w:rPr>
        <w:t xml:space="preserve"> заявление об изменении присвоенной ранее земельному участку категории риска.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/>
          <w:sz w:val="28"/>
          <w:szCs w:val="28"/>
          <w:lang w:eastAsia="zh-CN"/>
        </w:rPr>
        <w:t>Главной задачей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администрации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при осуществлении муниципального </w:t>
      </w:r>
      <w:r>
        <w:rPr>
          <w:rFonts w:ascii="Times New Roman" w:hAnsi="Times New Roman" w:eastAsia="Times New Roman"/>
          <w:sz w:val="28"/>
          <w:szCs w:val="28"/>
          <w:lang w:val="ru-RU" w:eastAsia="zh-CN"/>
        </w:rPr>
        <w:t>земельного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>
        <w:rPr>
          <w:rFonts w:ascii="Times New Roman" w:hAnsi="Times New Roman"/>
          <w:color w:val="000000"/>
          <w:sz w:val="28"/>
          <w:szCs w:val="28"/>
        </w:rPr>
        <w:t>Проведение профилактических мероприятий направлено на соблюдение подконтрольными субъектами обязательных требований в сфере земельного законодательства</w:t>
      </w:r>
      <w:r>
        <w:rPr>
          <w:rFonts w:ascii="PT Astra Serif" w:hAnsi="PT Astra Serif"/>
          <w:color w:val="000000"/>
          <w:sz w:val="28"/>
          <w:szCs w:val="28"/>
        </w:rPr>
        <w:t>,  побуждение подконтрольных субъектов к добросовестности, повышению ответственности, снижению количества выявляемых нарушений обязательных требований.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175"/>
      <w:bookmarkEnd w:id="1"/>
      <w:r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целями Программы являются: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лицами. 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целесообразности проведения профилактических мероприятий вместо применения контрольных (надзорных) мероприятий или мер административного характера.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806"/>
        <w:gridCol w:w="1965"/>
        <w:gridCol w:w="3267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«Интернет»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средствах массовой информации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Обобщение правоприменительной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2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итогам обобщения правоприменительной практики уполномоченным органом ежегодно готовится доклад, содержащий результаты обобщения правоприменительной практики по осуществлению муниципального земельного контроля, который проходит публичное обсуждение.</w:t>
            </w:r>
          </w:p>
          <w:p>
            <w:pPr>
              <w:pStyle w:val="2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документа.</w:t>
            </w:r>
          </w:p>
          <w:p>
            <w:pPr>
              <w:pStyle w:val="28"/>
              <w:jc w:val="both"/>
              <w:rPr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практике. Результаты обобщения правоприменительной практики включаются в ежегодный доклад уполномоченного органа о муниципальном земельном контроле.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Проект доклада размещается до 1 </w:t>
            </w:r>
            <w:r>
              <w:rPr>
                <w:iCs/>
                <w:sz w:val="24"/>
                <w:szCs w:val="24"/>
                <w:lang w:val="ru-RU"/>
              </w:rPr>
              <w:t>мая</w:t>
            </w:r>
            <w:r>
              <w:rPr>
                <w:iCs/>
                <w:sz w:val="24"/>
                <w:szCs w:val="24"/>
              </w:rPr>
              <w:t xml:space="preserve"> 20</w:t>
            </w:r>
            <w:r>
              <w:rPr>
                <w:rFonts w:hint="default"/>
                <w:iCs/>
                <w:sz w:val="24"/>
                <w:szCs w:val="24"/>
                <w:lang w:val="ru-RU"/>
              </w:rPr>
              <w:t>24</w:t>
            </w:r>
            <w:r>
              <w:rPr>
                <w:iCs/>
                <w:sz w:val="24"/>
                <w:szCs w:val="24"/>
              </w:rPr>
              <w:t xml:space="preserve">года для проведения публичного обсуждения. </w:t>
            </w:r>
            <w:r>
              <w:rPr>
                <w:rFonts w:cs="Times New Roman"/>
                <w:sz w:val="24"/>
                <w:szCs w:val="24"/>
              </w:rPr>
              <w:t xml:space="preserve">Срок проведения публичных обсуждений составляет 20 дней. Доклад о правоприменительной практике утверждается </w:t>
            </w:r>
            <w:r>
              <w:rPr>
                <w:rFonts w:cs="Times New Roman"/>
                <w:sz w:val="24"/>
                <w:szCs w:val="24"/>
                <w:lang w:val="ru-RU"/>
              </w:rPr>
              <w:t>первым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заместителем главы администрации муниципального района  </w:t>
            </w:r>
            <w:r>
              <w:rPr>
                <w:rFonts w:cs="Times New Roman"/>
                <w:sz w:val="24"/>
                <w:szCs w:val="24"/>
              </w:rPr>
              <w:t xml:space="preserve"> в срок до 1</w:t>
            </w:r>
            <w:r>
              <w:rPr>
                <w:rFonts w:cs="Times New Roman"/>
                <w:sz w:val="24"/>
                <w:szCs w:val="24"/>
                <w:lang w:val="ru-RU"/>
              </w:rPr>
              <w:t>июля</w:t>
            </w:r>
            <w:r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размещается</w:t>
            </w:r>
            <w:r>
              <w:rPr>
                <w:rFonts w:cs="Times New Roman"/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rFonts w:cs="Times New Roman"/>
                <w:sz w:val="24"/>
                <w:szCs w:val="24"/>
              </w:rPr>
              <w:t xml:space="preserve"> в сети «Интернет».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Начальник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 администрации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муниципального земельного контроля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предостережений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 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по телефону, посредством видео-конференц-связи, на личном приеме либо в ходе проведения профилактических мероприятий, в устной или письменной форме, посредством размещения на официальном сайте администрации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«Интернет» письменного разъяснения,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подписанного уполномоченным должностным лицом,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вопросам:</w:t>
            </w:r>
          </w:p>
          <w:p>
            <w:pPr>
              <w:pStyle w:val="28"/>
              <w:jc w:val="both"/>
            </w:pPr>
            <w:r>
              <w:t>а) организация и осуществление муниципального земельного контроля;</w:t>
            </w:r>
          </w:p>
          <w:p>
            <w:pPr>
              <w:pStyle w:val="28"/>
              <w:jc w:val="both"/>
            </w:pPr>
            <w:r>
              <w:t>б) порядок осуществления контрольных мероприятий, установленных настоящим Положением;</w:t>
            </w:r>
          </w:p>
          <w:p>
            <w:pPr>
              <w:pStyle w:val="28"/>
              <w:jc w:val="both"/>
            </w:pPr>
            <w:r>
              <w:t>в) порядок обжалования действий (бездействия) должностных лиц уполномоченного органа;</w:t>
            </w:r>
          </w:p>
          <w:p>
            <w:pPr>
              <w:pStyle w:val="28"/>
              <w:jc w:val="both"/>
              <w:rPr>
                <w:iCs/>
                <w:sz w:val="24"/>
                <w:szCs w:val="24"/>
              </w:rPr>
            </w:pPr>
            <w: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течении года по мере поступления обращений за консультацией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течении года по мере необходимости 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3"/>
        <w:tblW w:w="9418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3544"/>
        <w:gridCol w:w="1843"/>
        <w:gridCol w:w="340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проводимого мероприятия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информированности субъектов профилактики о соблюдении обязательных требований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Удовлетворённость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субъектами профилактики и их представителями консультированием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нарушений обязательных требований субъектами профилактики</w:t>
            </w:r>
          </w:p>
        </w:tc>
      </w:tr>
      <w:t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разъяснений рекомендательного характера о соблюдении обязательных требований субъектом профилактики, предъявляемых непосредственно к его деятельности либо к принадлежащим ему объектам контроля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от числа проведенных профилактических визитов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нарушениям обязательных требований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профилактических мероприятий, предусмотренных Программой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мероприятий, предусмотренных Положением о виде муниципального контроля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нарушений обязательных требований субъектами профилактики</w:t>
            </w:r>
          </w:p>
        </w:tc>
      </w:tr>
    </w:tbl>
    <w:p>
      <w:pPr>
        <w:ind w:firstLine="709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42" w:right="566" w:bottom="142" w:left="1050" w:header="0" w:footer="0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ngal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7272D"/>
    <w:multiLevelType w:val="multilevel"/>
    <w:tmpl w:val="3C47272D"/>
    <w:lvl w:ilvl="0" w:tentative="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multilevel"/>
    <w:tmpl w:val="72FC70F9"/>
    <w:lvl w:ilvl="0" w:tentative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false"/>
  <w:bordersDoNotSurroundFooter w:val="false"/>
  <w:documentProtection w:enforcement="0"/>
  <w:defaultTabStop w:val="306"/>
  <w:displayHorizontalDrawingGridEvery w:val="1"/>
  <w:displayVerticalDrawingGridEvery w:val="1"/>
  <w:noPunctuationKerning w:val="true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3FD30"/>
    <w:rsid w:val="3D6FA763"/>
    <w:rsid w:val="77EA5D27"/>
    <w:rsid w:val="7EBF542D"/>
    <w:rsid w:val="7EDA2FED"/>
    <w:rsid w:val="7FD1A07B"/>
    <w:rsid w:val="B3DF8E07"/>
    <w:rsid w:val="D3A70522"/>
    <w:rsid w:val="E3F6785B"/>
    <w:rsid w:val="F9F1A873"/>
    <w:rsid w:val="FCF54F90"/>
    <w:rsid w:val="FF6E9F30"/>
    <w:rsid w:val="FFFF9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11"/>
    <w:basedOn w:val="1"/>
    <w:link w:val="9"/>
    <w:qFormat/>
    <w:uiPriority w:val="0"/>
    <w:pPr>
      <w:keepNext/>
      <w:widowControl w:val="0"/>
      <w:tabs>
        <w:tab w:val="left" w:pos="0"/>
      </w:tabs>
      <w:suppressAutoHyphens/>
      <w:spacing w:before="0" w:after="0" w:line="240" w:lineRule="auto"/>
      <w:ind w:firstLine="720"/>
      <w:outlineLvl w:val="0"/>
    </w:pPr>
    <w:rPr>
      <w:rFonts w:ascii="Arial" w:hAnsi="Arial" w:eastAsia="Times New Roman" w:cs="Arial"/>
      <w:b/>
      <w:i/>
      <w:sz w:val="28"/>
      <w:szCs w:val="20"/>
      <w:lang w:eastAsia="zh-CN"/>
    </w:rPr>
  </w:style>
  <w:style w:type="character" w:customStyle="1" w:styleId="9">
    <w:name w:val="Заголовок 1 Знак"/>
    <w:basedOn w:val="2"/>
    <w:link w:val="8"/>
    <w:qFormat/>
    <w:uiPriority w:val="0"/>
    <w:rPr>
      <w:rFonts w:ascii="Arial" w:hAnsi="Arial" w:eastAsia="Times New Roman" w:cs="Arial"/>
      <w:b/>
      <w:i/>
      <w:sz w:val="28"/>
      <w:szCs w:val="20"/>
      <w:lang w:eastAsia="zh-CN"/>
    </w:rPr>
  </w:style>
  <w:style w:type="character" w:customStyle="1" w:styleId="10">
    <w:name w:val="Выделение1"/>
    <w:basedOn w:val="2"/>
    <w:qFormat/>
    <w:uiPriority w:val="0"/>
    <w:rPr>
      <w:i/>
      <w:iCs/>
    </w:rPr>
  </w:style>
  <w:style w:type="character" w:customStyle="1" w:styleId="11">
    <w:name w:val="Верхний колонтитул Знак"/>
    <w:basedOn w:val="2"/>
    <w:qFormat/>
    <w:uiPriority w:val="99"/>
    <w:rPr>
      <w:rFonts w:eastAsiaTheme="minorEastAsia"/>
      <w:lang w:eastAsia="ru-RU"/>
    </w:rPr>
  </w:style>
  <w:style w:type="character" w:customStyle="1" w:styleId="12">
    <w:name w:val="Нижний колонтитул Знак"/>
    <w:basedOn w:val="2"/>
    <w:qFormat/>
    <w:uiPriority w:val="99"/>
    <w:rPr>
      <w:rFonts w:eastAsiaTheme="minorEastAsia"/>
      <w:lang w:eastAsia="ru-RU"/>
    </w:rPr>
  </w:style>
  <w:style w:type="character" w:customStyle="1" w:styleId="13">
    <w:name w:val="Текст выноски Знак"/>
    <w:basedOn w:val="2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customStyle="1" w:styleId="14">
    <w:name w:val="Интернет-ссылка"/>
    <w:basedOn w:val="2"/>
    <w:semiHidden/>
    <w:unhideWhenUsed/>
    <w:qFormat/>
    <w:uiPriority w:val="99"/>
    <w:rPr>
      <w:color w:val="0000FF"/>
      <w:u w:val="single"/>
      <w:lang w:val="zh-CN" w:eastAsia="zh-CN" w:bidi="zh-CN"/>
    </w:rPr>
  </w:style>
  <w:style w:type="character" w:customStyle="1" w:styleId="15">
    <w:name w:val="ListLabel 1"/>
    <w:qFormat/>
    <w:uiPriority w:val="0"/>
    <w:rPr>
      <w:rFonts w:cs="Times New Roman"/>
    </w:rPr>
  </w:style>
  <w:style w:type="paragraph" w:customStyle="1" w:styleId="16">
    <w:name w:val="Заголовок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7">
    <w:name w:val="Основной текст1"/>
    <w:basedOn w:val="1"/>
    <w:qFormat/>
    <w:uiPriority w:val="0"/>
    <w:pPr>
      <w:spacing w:before="0" w:after="140" w:line="288" w:lineRule="auto"/>
    </w:pPr>
  </w:style>
  <w:style w:type="paragraph" w:customStyle="1" w:styleId="18">
    <w:name w:val="Список1"/>
    <w:basedOn w:val="17"/>
    <w:qFormat/>
    <w:uiPriority w:val="0"/>
    <w:rPr>
      <w:rFonts w:cs="Mangal"/>
    </w:rPr>
  </w:style>
  <w:style w:type="paragraph" w:customStyle="1" w:styleId="1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21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2">
    <w:name w:val="consplusnonformat"/>
    <w:basedOn w:val="1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24">
    <w:name w:val="Ниж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25">
    <w:name w:val="Содержимое врезки"/>
    <w:basedOn w:val="1"/>
    <w:qFormat/>
    <w:uiPriority w:val="0"/>
  </w:style>
  <w:style w:type="paragraph" w:customStyle="1" w:styleId="26">
    <w:name w:val="Содержимое таблицы"/>
    <w:basedOn w:val="1"/>
    <w:qFormat/>
    <w:uiPriority w:val="0"/>
  </w:style>
  <w:style w:type="paragraph" w:customStyle="1" w:styleId="27">
    <w:name w:val="Заголовок таблицы"/>
    <w:basedOn w:val="26"/>
    <w:qFormat/>
    <w:uiPriority w:val="0"/>
  </w:style>
  <w:style w:type="paragraph" w:customStyle="1" w:styleId="28">
    <w:name w:val="ConsPlus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Calibri"/>
      <w:sz w:val="22"/>
      <w:lang w:val="ru-RU" w:eastAsia="zh-CN" w:bidi="ar-SA"/>
    </w:rPr>
  </w:style>
  <w:style w:type="paragraph" w:customStyle="1" w:styleId="29">
    <w:name w:val="Normal (Web)"/>
    <w:basedOn w:val="1"/>
    <w:qFormat/>
    <w:uiPriority w:val="7"/>
    <w:pPr>
      <w:widowControl/>
      <w:spacing w:before="100" w:after="100"/>
      <w:ind w:left="150" w:right="150" w:firstLine="0"/>
      <w:jc w:val="both"/>
      <w:textAlignment w:val="auto"/>
    </w:pPr>
    <w:rPr>
      <w:rFonts w:ascii="Arial" w:hAnsi="Arial" w:eastAsia="Arial"/>
      <w:color w:val="000044"/>
      <w:sz w:val="18"/>
      <w:lang w:val="ru-RU" w:eastAsia="ar-SA"/>
    </w:rPr>
  </w:style>
  <w:style w:type="paragraph" w:customStyle="1" w:styleId="30">
    <w:name w:val="Обычный (веб)1"/>
    <w:basedOn w:val="1"/>
    <w:qFormat/>
    <w:uiPriority w:val="0"/>
    <w:pPr>
      <w:suppressAutoHyphens/>
      <w:spacing w:before="150" w:after="150" w:line="240" w:lineRule="auto"/>
      <w:ind w:firstLine="375"/>
    </w:pPr>
    <w:rPr>
      <w:rFonts w:ascii="Times New Roman" w:hAnsi="Times New Roman" w:eastAsia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ragraphs>214</Paragraphs>
  <TotalTime>0</TotalTime>
  <ScaleCrop>false</ScaleCrop>
  <LinksUpToDate>false</LinksUpToDate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2013-08-04T12:36:00Z</dcterms:created>
  <dc:creator>shubinajj@adm.tatishevomr</dc:creator>
  <cp:lastModifiedBy>shubinajj@adm.tatishevomr</cp:lastModifiedBy>
  <cp:lastPrinted>2022-11-15T13:39:00Z</cp:lastPrinted>
  <dcterms:modified xsi:type="dcterms:W3CDTF">2023-10-02T14:34:14Z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