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23313C" w:rsidRDefault="00164B1C" w:rsidP="00164B1C">
      <w:pPr>
        <w:suppressAutoHyphens/>
        <w:rPr>
          <w:szCs w:val="28"/>
        </w:rPr>
      </w:pPr>
      <w:r>
        <w:rPr>
          <w:szCs w:val="28"/>
        </w:rPr>
        <w:t>22.01.2025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74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9A6B0D" w:rsidRDefault="009A6B0D" w:rsidP="009A6B0D">
      <w:pPr>
        <w:spacing w:after="200"/>
        <w:contextualSpacing/>
        <w:jc w:val="center"/>
        <w:rPr>
          <w:szCs w:val="28"/>
        </w:rPr>
      </w:pPr>
      <w:r w:rsidRPr="009A6B0D">
        <w:rPr>
          <w:szCs w:val="28"/>
        </w:rPr>
        <w:t xml:space="preserve">Об утверждении плана мероприятий, направленных на </w:t>
      </w:r>
    </w:p>
    <w:p w:rsidR="009A6B0D" w:rsidRDefault="009A6B0D" w:rsidP="009A6B0D">
      <w:pPr>
        <w:spacing w:after="200"/>
        <w:contextualSpacing/>
        <w:jc w:val="center"/>
        <w:rPr>
          <w:szCs w:val="28"/>
        </w:rPr>
      </w:pPr>
      <w:r w:rsidRPr="009A6B0D">
        <w:rPr>
          <w:szCs w:val="28"/>
        </w:rPr>
        <w:t xml:space="preserve">увеличение доходной части консолидированного бюджета </w:t>
      </w:r>
    </w:p>
    <w:p w:rsidR="009A6B0D" w:rsidRPr="009A6B0D" w:rsidRDefault="009A6B0D" w:rsidP="009A6B0D">
      <w:pPr>
        <w:spacing w:after="200"/>
        <w:contextualSpacing/>
        <w:jc w:val="center"/>
        <w:rPr>
          <w:szCs w:val="28"/>
        </w:rPr>
      </w:pPr>
      <w:r w:rsidRPr="009A6B0D">
        <w:rPr>
          <w:szCs w:val="28"/>
        </w:rPr>
        <w:t>в Татищевском муниципальном районе Саратовской области на 2025 год</w:t>
      </w:r>
    </w:p>
    <w:p w:rsidR="009A6B0D" w:rsidRDefault="009A6B0D" w:rsidP="009A6B0D">
      <w:pPr>
        <w:tabs>
          <w:tab w:val="left" w:pos="3480"/>
        </w:tabs>
        <w:suppressAutoHyphens/>
        <w:jc w:val="center"/>
        <w:rPr>
          <w:szCs w:val="28"/>
          <w:lang w:eastAsia="zh-CN"/>
        </w:rPr>
      </w:pPr>
    </w:p>
    <w:p w:rsidR="009A6B0D" w:rsidRDefault="009A6B0D" w:rsidP="009A6B0D">
      <w:pPr>
        <w:tabs>
          <w:tab w:val="left" w:pos="3480"/>
        </w:tabs>
        <w:suppressAutoHyphens/>
        <w:jc w:val="center"/>
        <w:rPr>
          <w:szCs w:val="28"/>
          <w:lang w:eastAsia="zh-CN"/>
        </w:rPr>
      </w:pPr>
    </w:p>
    <w:p w:rsidR="009A6B0D" w:rsidRPr="009A6B0D" w:rsidRDefault="009A6B0D" w:rsidP="009A6B0D">
      <w:pPr>
        <w:tabs>
          <w:tab w:val="left" w:pos="1118"/>
        </w:tabs>
        <w:spacing w:after="200"/>
        <w:ind w:firstLine="851"/>
        <w:contextualSpacing/>
        <w:jc w:val="both"/>
        <w:rPr>
          <w:b/>
          <w:sz w:val="22"/>
          <w:szCs w:val="22"/>
        </w:rPr>
      </w:pPr>
      <w:r w:rsidRPr="009A6B0D">
        <w:rPr>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w:t>
      </w:r>
      <w:r>
        <w:rPr>
          <w:szCs w:val="28"/>
        </w:rPr>
        <w:t>,</w:t>
      </w:r>
      <w:r w:rsidRPr="009A6B0D">
        <w:rPr>
          <w:szCs w:val="28"/>
        </w:rPr>
        <w:t xml:space="preserve"> с целью повышения эффективности работы по увеличению доходной части консолидированного бюджета на территории Татищевского муниципального района Саратовской области п о с т а н о в л я ю: </w:t>
      </w:r>
    </w:p>
    <w:p w:rsidR="009A6B0D" w:rsidRPr="009A6B0D" w:rsidRDefault="009A6B0D" w:rsidP="009A6B0D">
      <w:pPr>
        <w:spacing w:after="200"/>
        <w:ind w:firstLine="567"/>
        <w:contextualSpacing/>
        <w:jc w:val="both"/>
        <w:rPr>
          <w:szCs w:val="28"/>
        </w:rPr>
      </w:pPr>
      <w:r w:rsidRPr="009A6B0D">
        <w:rPr>
          <w:szCs w:val="28"/>
        </w:rPr>
        <w:t>1. Утвердить план мероприятий, направленный на увеличение доходной части консолидированного бюджета в Татищевском муниципальной районе Саратовской области согласно приложению.</w:t>
      </w:r>
    </w:p>
    <w:p w:rsidR="009A6B0D" w:rsidRPr="009A6B0D" w:rsidRDefault="009A6B0D" w:rsidP="009A6B0D">
      <w:pPr>
        <w:suppressAutoHyphens/>
        <w:spacing w:after="200"/>
        <w:ind w:firstLine="567"/>
        <w:contextualSpacing/>
        <w:jc w:val="both"/>
        <w:rPr>
          <w:szCs w:val="28"/>
        </w:rPr>
      </w:pPr>
      <w:r w:rsidRPr="009A6B0D">
        <w:rPr>
          <w:szCs w:val="28"/>
        </w:rPr>
        <w:t>2. Разместить настоящее постановление на официальном сайте Татищевского муниципального района Саратовской области в сети «Интернет».</w:t>
      </w:r>
    </w:p>
    <w:p w:rsidR="009A6B0D" w:rsidRPr="009A6B0D" w:rsidRDefault="009A6B0D" w:rsidP="009A6B0D">
      <w:pPr>
        <w:suppressAutoHyphens/>
        <w:spacing w:after="200"/>
        <w:ind w:firstLine="567"/>
        <w:contextualSpacing/>
        <w:jc w:val="both"/>
        <w:rPr>
          <w:szCs w:val="28"/>
        </w:rPr>
      </w:pPr>
      <w:r w:rsidRPr="009A6B0D">
        <w:rPr>
          <w:szCs w:val="28"/>
        </w:rPr>
        <w:t xml:space="preserve">3. Контроль за исполнением настоящего постановления </w:t>
      </w:r>
      <w:r w:rsidR="00B639EE">
        <w:rPr>
          <w:szCs w:val="28"/>
        </w:rPr>
        <w:t>оставляю за собой</w:t>
      </w:r>
      <w:r w:rsidRPr="009A6B0D">
        <w:rPr>
          <w:szCs w:val="28"/>
        </w:rPr>
        <w:t>.</w:t>
      </w:r>
    </w:p>
    <w:p w:rsidR="009A6B0D" w:rsidRPr="009A6B0D" w:rsidRDefault="009A6B0D" w:rsidP="009A6B0D">
      <w:pPr>
        <w:suppressAutoHyphens/>
        <w:spacing w:after="200"/>
        <w:ind w:firstLine="567"/>
        <w:contextualSpacing/>
        <w:jc w:val="both"/>
        <w:rPr>
          <w:szCs w:val="28"/>
        </w:rPr>
      </w:pPr>
    </w:p>
    <w:p w:rsidR="009A6B0D" w:rsidRPr="009A6B0D" w:rsidRDefault="009A6B0D" w:rsidP="009A6B0D">
      <w:pPr>
        <w:spacing w:after="200"/>
        <w:contextualSpacing/>
        <w:jc w:val="both"/>
        <w:rPr>
          <w:szCs w:val="28"/>
        </w:rPr>
      </w:pPr>
    </w:p>
    <w:p w:rsidR="009A6B0D" w:rsidRPr="009A6B0D" w:rsidRDefault="009A6B0D" w:rsidP="009A6B0D">
      <w:pPr>
        <w:tabs>
          <w:tab w:val="left" w:pos="4962"/>
          <w:tab w:val="left" w:pos="5245"/>
        </w:tabs>
        <w:suppressAutoHyphens/>
        <w:rPr>
          <w:szCs w:val="28"/>
        </w:rPr>
      </w:pPr>
      <w:r w:rsidRPr="009A6B0D">
        <w:rPr>
          <w:szCs w:val="28"/>
        </w:rPr>
        <w:t xml:space="preserve">   Глава Татищевского</w:t>
      </w:r>
    </w:p>
    <w:p w:rsidR="009A6B0D" w:rsidRPr="009A6B0D" w:rsidRDefault="009A6B0D" w:rsidP="009A6B0D">
      <w:pPr>
        <w:rPr>
          <w:szCs w:val="28"/>
        </w:rPr>
      </w:pPr>
      <w:r w:rsidRPr="009A6B0D">
        <w:rPr>
          <w:szCs w:val="28"/>
        </w:rPr>
        <w:t>муниципального района                                                                   А.В.Мордвинцев</w:t>
      </w:r>
    </w:p>
    <w:p w:rsidR="009A6B0D" w:rsidRPr="009A6B0D" w:rsidRDefault="009A6B0D" w:rsidP="009A6B0D">
      <w:pPr>
        <w:spacing w:after="200" w:line="276" w:lineRule="auto"/>
        <w:rPr>
          <w:sz w:val="22"/>
          <w:szCs w:val="22"/>
        </w:rPr>
      </w:pPr>
    </w:p>
    <w:p w:rsidR="009A6B0D" w:rsidRPr="009A6B0D" w:rsidRDefault="009A6B0D" w:rsidP="009A6B0D">
      <w:pPr>
        <w:spacing w:after="200" w:line="276" w:lineRule="auto"/>
        <w:rPr>
          <w:sz w:val="22"/>
          <w:szCs w:val="22"/>
        </w:rPr>
      </w:pPr>
    </w:p>
    <w:p w:rsidR="009A6B0D" w:rsidRPr="009A6B0D" w:rsidRDefault="009A6B0D" w:rsidP="009A6B0D">
      <w:pPr>
        <w:spacing w:after="200" w:line="276" w:lineRule="auto"/>
        <w:rPr>
          <w:sz w:val="22"/>
          <w:szCs w:val="22"/>
        </w:rPr>
      </w:pPr>
    </w:p>
    <w:p w:rsidR="009A6B0D" w:rsidRPr="009A6B0D" w:rsidRDefault="009A6B0D" w:rsidP="009A6B0D">
      <w:pPr>
        <w:spacing w:after="200" w:line="276" w:lineRule="auto"/>
        <w:rPr>
          <w:sz w:val="22"/>
          <w:szCs w:val="22"/>
        </w:rPr>
      </w:pPr>
    </w:p>
    <w:p w:rsidR="009A6B0D" w:rsidRPr="009A6B0D" w:rsidRDefault="009A6B0D" w:rsidP="009A6B0D">
      <w:pPr>
        <w:spacing w:after="200" w:line="276" w:lineRule="auto"/>
        <w:rPr>
          <w:sz w:val="22"/>
          <w:szCs w:val="22"/>
        </w:rPr>
        <w:sectPr w:rsidR="009A6B0D" w:rsidRPr="009A6B0D" w:rsidSect="00D374E8">
          <w:headerReference w:type="default" r:id="rId10"/>
          <w:pgSz w:w="11906" w:h="16838"/>
          <w:pgMar w:top="1134" w:right="850" w:bottom="1134" w:left="1134" w:header="708" w:footer="708" w:gutter="0"/>
          <w:cols w:space="708"/>
          <w:docGrid w:linePitch="360"/>
        </w:sectPr>
      </w:pPr>
    </w:p>
    <w:p w:rsidR="009A6B0D" w:rsidRPr="009A6B0D" w:rsidRDefault="009A6B0D" w:rsidP="009A6B0D">
      <w:pPr>
        <w:ind w:left="10490" w:hanging="360"/>
        <w:jc w:val="center"/>
        <w:rPr>
          <w:szCs w:val="28"/>
          <w:lang w:eastAsia="zh-CN"/>
        </w:rPr>
      </w:pPr>
      <w:r w:rsidRPr="009A6B0D">
        <w:rPr>
          <w:szCs w:val="28"/>
          <w:lang w:eastAsia="zh-CN"/>
        </w:rPr>
        <w:lastRenderedPageBreak/>
        <w:t xml:space="preserve">Приложение </w:t>
      </w:r>
    </w:p>
    <w:p w:rsidR="009A6B0D" w:rsidRPr="009A6B0D" w:rsidRDefault="009A6B0D" w:rsidP="009A6B0D">
      <w:pPr>
        <w:ind w:left="10490" w:hanging="360"/>
        <w:jc w:val="center"/>
        <w:rPr>
          <w:szCs w:val="28"/>
          <w:lang w:eastAsia="zh-CN"/>
        </w:rPr>
      </w:pPr>
      <w:r w:rsidRPr="009A6B0D">
        <w:rPr>
          <w:szCs w:val="28"/>
          <w:lang w:eastAsia="zh-CN"/>
        </w:rPr>
        <w:t>к постановлению</w:t>
      </w:r>
    </w:p>
    <w:p w:rsidR="009A6B0D" w:rsidRPr="009A6B0D" w:rsidRDefault="009A6B0D" w:rsidP="009A6B0D">
      <w:pPr>
        <w:ind w:left="10490" w:hanging="360"/>
        <w:jc w:val="center"/>
        <w:rPr>
          <w:szCs w:val="28"/>
          <w:lang w:eastAsia="zh-CN"/>
        </w:rPr>
      </w:pPr>
      <w:r w:rsidRPr="009A6B0D">
        <w:rPr>
          <w:szCs w:val="28"/>
          <w:lang w:eastAsia="zh-CN"/>
        </w:rPr>
        <w:t>администрации Татищевского</w:t>
      </w:r>
    </w:p>
    <w:p w:rsidR="009A6B0D" w:rsidRPr="009A6B0D" w:rsidRDefault="009A6B0D" w:rsidP="009A6B0D">
      <w:pPr>
        <w:ind w:left="10490" w:hanging="360"/>
        <w:jc w:val="center"/>
        <w:rPr>
          <w:szCs w:val="28"/>
          <w:lang w:eastAsia="zh-CN"/>
        </w:rPr>
      </w:pPr>
      <w:r w:rsidRPr="009A6B0D">
        <w:rPr>
          <w:szCs w:val="28"/>
          <w:lang w:eastAsia="zh-CN"/>
        </w:rPr>
        <w:t>муниципального района</w:t>
      </w:r>
    </w:p>
    <w:p w:rsidR="009A6B0D" w:rsidRPr="009A6B0D" w:rsidRDefault="009A6B0D" w:rsidP="009A6B0D">
      <w:pPr>
        <w:ind w:left="10490" w:hanging="360"/>
        <w:jc w:val="center"/>
        <w:rPr>
          <w:szCs w:val="28"/>
          <w:lang w:eastAsia="zh-CN"/>
        </w:rPr>
      </w:pPr>
      <w:r w:rsidRPr="009A6B0D">
        <w:rPr>
          <w:szCs w:val="28"/>
          <w:lang w:eastAsia="zh-CN"/>
        </w:rPr>
        <w:t>Саратовской области</w:t>
      </w:r>
    </w:p>
    <w:p w:rsidR="009A6B0D" w:rsidRPr="00164B1C" w:rsidRDefault="00164B1C" w:rsidP="00164B1C">
      <w:pPr>
        <w:ind w:left="10206"/>
        <w:jc w:val="center"/>
        <w:rPr>
          <w:szCs w:val="28"/>
        </w:rPr>
      </w:pPr>
      <w:bookmarkStart w:id="0" w:name="_GoBack"/>
      <w:bookmarkEnd w:id="0"/>
      <w:r>
        <w:rPr>
          <w:szCs w:val="28"/>
        </w:rPr>
        <w:t>от 22.01.2025 № 74</w:t>
      </w:r>
    </w:p>
    <w:p w:rsidR="009A6B0D" w:rsidRPr="009A6B0D" w:rsidRDefault="009A6B0D" w:rsidP="009A6B0D">
      <w:pPr>
        <w:jc w:val="center"/>
        <w:rPr>
          <w:b/>
          <w:szCs w:val="28"/>
        </w:rPr>
      </w:pPr>
    </w:p>
    <w:p w:rsidR="009A6B0D" w:rsidRPr="009A6B0D" w:rsidRDefault="009A6B0D" w:rsidP="009A6B0D">
      <w:pPr>
        <w:jc w:val="center"/>
        <w:rPr>
          <w:b/>
          <w:szCs w:val="28"/>
        </w:rPr>
      </w:pPr>
      <w:r w:rsidRPr="009A6B0D">
        <w:rPr>
          <w:b/>
          <w:szCs w:val="28"/>
        </w:rPr>
        <w:t>План мероприятий, направленных на</w:t>
      </w:r>
    </w:p>
    <w:p w:rsidR="009A6B0D" w:rsidRPr="009A6B0D" w:rsidRDefault="009A6B0D" w:rsidP="009A6B0D">
      <w:pPr>
        <w:jc w:val="center"/>
        <w:rPr>
          <w:b/>
          <w:szCs w:val="28"/>
        </w:rPr>
      </w:pPr>
      <w:r w:rsidRPr="009A6B0D">
        <w:rPr>
          <w:b/>
          <w:szCs w:val="28"/>
        </w:rPr>
        <w:t xml:space="preserve"> увеличение доходной части консолидированного бюджета</w:t>
      </w:r>
    </w:p>
    <w:p w:rsidR="009A6B0D" w:rsidRPr="009A6B0D" w:rsidRDefault="009A6B0D" w:rsidP="009A6B0D">
      <w:pPr>
        <w:jc w:val="center"/>
        <w:rPr>
          <w:b/>
          <w:szCs w:val="28"/>
        </w:rPr>
      </w:pPr>
      <w:r w:rsidRPr="009A6B0D">
        <w:rPr>
          <w:b/>
          <w:szCs w:val="28"/>
        </w:rPr>
        <w:t xml:space="preserve"> в Татищевском муниципальном районе Саратовской области</w:t>
      </w:r>
    </w:p>
    <w:p w:rsidR="009A6B0D" w:rsidRPr="009A6B0D" w:rsidRDefault="009A6B0D" w:rsidP="009A6B0D">
      <w:pPr>
        <w:jc w:val="center"/>
        <w:rPr>
          <w:b/>
          <w:szCs w:val="28"/>
        </w:rPr>
      </w:pPr>
    </w:p>
    <w:tbl>
      <w:tblPr>
        <w:tblStyle w:val="42"/>
        <w:tblW w:w="0" w:type="auto"/>
        <w:jc w:val="center"/>
        <w:tblLook w:val="04A0" w:firstRow="1" w:lastRow="0" w:firstColumn="1" w:lastColumn="0" w:noHBand="0" w:noVBand="1"/>
      </w:tblPr>
      <w:tblGrid>
        <w:gridCol w:w="817"/>
        <w:gridCol w:w="6946"/>
        <w:gridCol w:w="2126"/>
        <w:gridCol w:w="4897"/>
      </w:tblGrid>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b/>
                <w:sz w:val="24"/>
                <w:szCs w:val="24"/>
              </w:rPr>
            </w:pPr>
            <w:r w:rsidRPr="009A6B0D">
              <w:rPr>
                <w:rFonts w:ascii="Times New Roman" w:hAnsi="Times New Roman"/>
                <w:b/>
                <w:sz w:val="24"/>
                <w:szCs w:val="24"/>
              </w:rPr>
              <w:t>№ п/п</w:t>
            </w:r>
          </w:p>
        </w:tc>
        <w:tc>
          <w:tcPr>
            <w:tcW w:w="6946" w:type="dxa"/>
            <w:vAlign w:val="center"/>
          </w:tcPr>
          <w:p w:rsidR="009A6B0D" w:rsidRPr="009A6B0D" w:rsidRDefault="009A6B0D" w:rsidP="009A6B0D">
            <w:pPr>
              <w:jc w:val="center"/>
              <w:rPr>
                <w:rFonts w:ascii="Times New Roman" w:hAnsi="Times New Roman"/>
                <w:b/>
                <w:sz w:val="24"/>
                <w:szCs w:val="24"/>
              </w:rPr>
            </w:pPr>
            <w:r w:rsidRPr="009A6B0D">
              <w:rPr>
                <w:rFonts w:ascii="Times New Roman" w:hAnsi="Times New Roman"/>
                <w:b/>
                <w:sz w:val="24"/>
                <w:szCs w:val="24"/>
              </w:rPr>
              <w:t>Наименование мероприятия</w:t>
            </w:r>
          </w:p>
        </w:tc>
        <w:tc>
          <w:tcPr>
            <w:tcW w:w="2126" w:type="dxa"/>
            <w:vAlign w:val="center"/>
          </w:tcPr>
          <w:p w:rsidR="009A6B0D" w:rsidRPr="009A6B0D" w:rsidRDefault="009A6B0D" w:rsidP="009A6B0D">
            <w:pPr>
              <w:jc w:val="center"/>
              <w:rPr>
                <w:rFonts w:ascii="Times New Roman" w:hAnsi="Times New Roman"/>
                <w:b/>
                <w:sz w:val="24"/>
                <w:szCs w:val="24"/>
              </w:rPr>
            </w:pPr>
            <w:r w:rsidRPr="009A6B0D">
              <w:rPr>
                <w:rFonts w:ascii="Times New Roman" w:hAnsi="Times New Roman"/>
                <w:b/>
                <w:sz w:val="24"/>
                <w:szCs w:val="24"/>
              </w:rPr>
              <w:t>Срок исполнения</w:t>
            </w:r>
          </w:p>
        </w:tc>
        <w:tc>
          <w:tcPr>
            <w:tcW w:w="4897" w:type="dxa"/>
            <w:vAlign w:val="center"/>
          </w:tcPr>
          <w:p w:rsidR="009A6B0D" w:rsidRPr="009A6B0D" w:rsidRDefault="009A6B0D" w:rsidP="009A6B0D">
            <w:pPr>
              <w:jc w:val="center"/>
              <w:rPr>
                <w:rFonts w:ascii="Times New Roman" w:hAnsi="Times New Roman"/>
                <w:b/>
                <w:sz w:val="24"/>
                <w:szCs w:val="24"/>
              </w:rPr>
            </w:pPr>
            <w:r w:rsidRPr="009A6B0D">
              <w:rPr>
                <w:rFonts w:ascii="Times New Roman" w:hAnsi="Times New Roman"/>
                <w:b/>
                <w:sz w:val="24"/>
                <w:szCs w:val="24"/>
              </w:rPr>
              <w:t>Ответственные за реализацию мероприятия</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b/>
                <w:sz w:val="24"/>
                <w:szCs w:val="24"/>
              </w:rPr>
            </w:pPr>
            <w:r w:rsidRPr="009A6B0D">
              <w:rPr>
                <w:rFonts w:ascii="Times New Roman" w:hAnsi="Times New Roman"/>
                <w:b/>
                <w:sz w:val="24"/>
                <w:szCs w:val="24"/>
              </w:rPr>
              <w:t>1</w:t>
            </w:r>
          </w:p>
        </w:tc>
        <w:tc>
          <w:tcPr>
            <w:tcW w:w="6946" w:type="dxa"/>
            <w:vAlign w:val="center"/>
          </w:tcPr>
          <w:p w:rsidR="009A6B0D" w:rsidRPr="009A6B0D" w:rsidRDefault="009A6B0D" w:rsidP="009A6B0D">
            <w:pPr>
              <w:jc w:val="center"/>
              <w:rPr>
                <w:rFonts w:ascii="Times New Roman" w:hAnsi="Times New Roman"/>
                <w:b/>
                <w:sz w:val="24"/>
                <w:szCs w:val="24"/>
              </w:rPr>
            </w:pPr>
            <w:r w:rsidRPr="009A6B0D">
              <w:rPr>
                <w:rFonts w:ascii="Times New Roman" w:hAnsi="Times New Roman"/>
                <w:b/>
                <w:sz w:val="24"/>
                <w:szCs w:val="24"/>
              </w:rPr>
              <w:t>2</w:t>
            </w:r>
          </w:p>
        </w:tc>
        <w:tc>
          <w:tcPr>
            <w:tcW w:w="2126" w:type="dxa"/>
            <w:vAlign w:val="center"/>
          </w:tcPr>
          <w:p w:rsidR="009A6B0D" w:rsidRPr="009A6B0D" w:rsidRDefault="009A6B0D" w:rsidP="009A6B0D">
            <w:pPr>
              <w:jc w:val="center"/>
              <w:rPr>
                <w:rFonts w:ascii="Times New Roman" w:hAnsi="Times New Roman"/>
                <w:b/>
                <w:sz w:val="24"/>
                <w:szCs w:val="24"/>
              </w:rPr>
            </w:pPr>
            <w:r w:rsidRPr="009A6B0D">
              <w:rPr>
                <w:rFonts w:ascii="Times New Roman" w:hAnsi="Times New Roman"/>
                <w:b/>
                <w:sz w:val="24"/>
                <w:szCs w:val="24"/>
              </w:rPr>
              <w:t>3</w:t>
            </w:r>
          </w:p>
        </w:tc>
        <w:tc>
          <w:tcPr>
            <w:tcW w:w="4897" w:type="dxa"/>
            <w:vAlign w:val="center"/>
          </w:tcPr>
          <w:p w:rsidR="009A6B0D" w:rsidRPr="009A6B0D" w:rsidRDefault="009A6B0D" w:rsidP="009A6B0D">
            <w:pPr>
              <w:jc w:val="center"/>
              <w:rPr>
                <w:rFonts w:ascii="Times New Roman" w:hAnsi="Times New Roman"/>
                <w:b/>
                <w:sz w:val="24"/>
                <w:szCs w:val="24"/>
              </w:rPr>
            </w:pPr>
            <w:r w:rsidRPr="009A6B0D">
              <w:rPr>
                <w:rFonts w:ascii="Times New Roman" w:hAnsi="Times New Roman"/>
                <w:b/>
                <w:sz w:val="24"/>
                <w:szCs w:val="24"/>
              </w:rPr>
              <w:t>4</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1</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Проведение заседаний комиссии по увеличению доходной части консолидированного бюджета в Татищевском муниципальном районе Саратовской области.</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1 раз в месяц</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комплексного анализа, прогнозирования и инвестиций управления финансов администрации района.</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2</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Проведение выездных заседаний комиссии по увеличению доходной части консолидированного бюджета в Татищевском районе Саратовской области.</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1 раз в месяц</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комплексного анализа, прогнозирования и инвестиций управления финансов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Главы муниципальных образований, входящих в состав Татищевского муниципального района Саратовской области.</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3</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Проведение анализа динамики поступлений налоговых и неналоговых доходов в консолидированный бюджет Татищевского муниципального района Саратовской области за определенный период текущего года в сравнении с аналогичным периодом предыдущего года.</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Ежедекадно до 02,12 числа</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комплексного анализа, прогнозирования и инвестиций управления финансов администрации района.</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4</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Проведение работы по сокращению задолженности по платежам в консолидированный бюджет:</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 разъяснительная работа с налогоплательщиками, имеющими задолженность за прошлые налоговые периоды;</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lastRenderedPageBreak/>
              <w:t>- взаимодействие с Межрайонной инспекцией Федеральной Налоговой  службы № 20 по Саратовской области (долговой центр) по обмену информацией о налогоплательщиках, имеющих значительные суммы задолженности по платежам в  бюджет.</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lastRenderedPageBreak/>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комплексного анализа, прогнозирования и инвестиций управления финансов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 xml:space="preserve">Главы муниципальных образований, </w:t>
            </w:r>
            <w:r w:rsidRPr="009A6B0D">
              <w:rPr>
                <w:rFonts w:ascii="Times New Roman" w:hAnsi="Times New Roman"/>
                <w:sz w:val="24"/>
                <w:szCs w:val="24"/>
              </w:rPr>
              <w:lastRenderedPageBreak/>
              <w:t>входящих в состав Татищевского муниципального района Саратовской области.</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lastRenderedPageBreak/>
              <w:t>5</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Проведение совместных рейдов с судебными приставами по Татищевскому муниципальному району Саратовской области, Межрайонной инспекцией Федеральной Налоговой  службы № 20 (долговой центр) по Саратовской области с целью взыскания задолженности по имущественным налогам (транспортному и земельному налогам, а также налогу на имущество с физических лиц).</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Не реже 1 раза в месяц (по согласованию)</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комплексного анализа, прогнозирования и инвестиций управления финансов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Главы муниципальных образований, входящих в состав Татищевского муниципального района Саратовской области.</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6</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Проведение информационно - разъяснительной работы с целью публичного информирования населения по вопросам исчисления и уплаты местных имущественных налогов (транспортному и земельному налогам, а также налогу на имущество с физических лиц).</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комплексного анализа, прогнозирования и инвестиций управления финансов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Главы муниципальных образований, входящих в состав Татищевского муниципального района Саратовской области.</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7</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Проведение мероприятий по легализации трудовых отношений на территории Татищевского муниципального района Саратовской области.</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Рабочая группа по снижению неформальной занятости межведомственной комиссии по  легализации заработной платы в Татищевском муниципальном районе Саратовской области.</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8</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 xml:space="preserve">Проведение инвентаризации имущества и земельных участков, находящихся в муниципальной собственности, в целях повышения эффективности их использования. </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земельных и имущественных отношений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Главы муниципальных образований, входящих в состав Татищевского муниципального района Саратовской области.</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9</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 xml:space="preserve">Выявление бесхозяйного имущества и оформление его в муниципальную собственность. Оформление в муниципальную собственность невостребованных земельных долей. Содействие в вовлечении в оборот неучтенных объектов (земельных участков), содействие в оформлении прав собственности на них, </w:t>
            </w:r>
            <w:r w:rsidRPr="009A6B0D">
              <w:rPr>
                <w:rFonts w:ascii="Times New Roman" w:hAnsi="Times New Roman"/>
                <w:sz w:val="24"/>
                <w:szCs w:val="24"/>
              </w:rPr>
              <w:lastRenderedPageBreak/>
              <w:t>установление земельных участков, по которым отсутствует или не соответствует категория вида разрешенного использования.</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lastRenderedPageBreak/>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земельных и имущественных отношений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правового обеспечения.</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 xml:space="preserve">Отдел комплексного анализа, прогнозирования и инвестиций управления </w:t>
            </w:r>
            <w:r w:rsidRPr="009A6B0D">
              <w:rPr>
                <w:rFonts w:ascii="Times New Roman" w:hAnsi="Times New Roman"/>
                <w:sz w:val="24"/>
                <w:szCs w:val="24"/>
              </w:rPr>
              <w:lastRenderedPageBreak/>
              <w:t>финансов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Главы муниципальных образований, входящих в состав Татищевского муниципального района Саратовской области.</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lastRenderedPageBreak/>
              <w:t>10</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Осуществление муниципального земельного контроля с целью выявления земельных участков, используемых не по целевому назначению, в том числе земель сельскохозяйственного назначения.</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земельных и имущественных отношений администрации района.</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11</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Повышение эффективности использования имущества, в том числе в части незавершенного строительства. Побуждение собственников объектов незавершенного строительства к оформлению их надлежащим образом.</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архитектуры и градостроительства управления индустриальной, строительной и коммунальной политики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комплексного анализа, прогнозирования и инвестиций управления финансов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Главы муниципальных образований, входящих в состав Татищевского муниципального района Саратовской области.</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12</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Выявление собственников земельных участков и недвижимого имущества, не оформивших свою собственность надлежащим образом. Побуждение собственников к оформлению своего имущества в надлежащем порядке.</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земельных и имущественных отношений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архитектуры и градостроительства управления индустриальной, строительной и коммунальной политики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комплексного анализа, прогнозирования и инвестиций управления финансов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Главы муниципальных образований, входящих в состав Татищевского муниципального района Саратовской области.</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13</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 xml:space="preserve">Проведение работы с Федеральной информационной адресной системой по своевременному внесению в государственный </w:t>
            </w:r>
            <w:r w:rsidRPr="009A6B0D">
              <w:rPr>
                <w:rFonts w:ascii="Times New Roman" w:hAnsi="Times New Roman"/>
                <w:sz w:val="24"/>
                <w:szCs w:val="24"/>
              </w:rPr>
              <w:lastRenderedPageBreak/>
              <w:t>адресный реестр отсутствующей информации об объектах недвижимости.</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lastRenderedPageBreak/>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земельных и имущественных отношений администрации района.</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lastRenderedPageBreak/>
              <w:t>14</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Проведение мониторинга уплаты налогов сельскохозяйственными товаропроизводителями, субъектами малого и среднего предпринимательства и другими организациями, получающими финансовую поддержку из областного бюджета.</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По мере необходимости</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развития сельского хозяйства и  предпринимательства администрации района.</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15</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Выявление сельскохозяйственных товаропроизводителей, ведущих свою хозяйственную деятельность на территории Татищевского муниципального района Саратовской области, декларирующих убытки от финансово-хозяйственной деятельности, имеющих задолженность в консолидированный бюджет района.</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развития сельского хозяйства и  предпринимательства администрации района.</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16</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Во взаимодействии с Межрайонной инспекцией Федеральной Налоговой  службы № 12 по Саратовской области проводить работу по побуждению лиц, осуществляющих предпринимательскую деятельность без государственной регистрации и (или) уплаты налоговых платежей, к оформлению своей деятельности в надлежащем порядке.</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комплексного анализа, прогнозирования и инвестиций управления финансов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развития сельского хозяйства и  предпринимательства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Главы муниципальных образований, входящих в состав Татищевского муниципального района Саратовской области.</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17</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Организация межведомственного взаимодействия по выявлению не декларируемых фактов сдачи жилых помещений в аренду и привлечение собственников к уплате налога на доходы с физических лиц совместно с отделом министерства внутренних дел по Татищевскому району и Межрайонной инспекцией Федеральной Налоговой  службы № 12 по Саратовской области.</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По мере необходимости</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комплексного анализа, прогнозирования и инвестиций управления финансов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Главы муниципальных образований, входящих в состав Татищевского муниципального района Саратовской области.</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18</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Предоставление земельных участков, государственная собственность на которые не разграничена.</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земельных и имущественных отношений администрации района.</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19</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 xml:space="preserve">Контроль над соблюдением исполнения договоров аренды земельных участков  в части перечисления сумм арендной платы в установленные договором сроки уплаты арендных платежей. </w:t>
            </w:r>
            <w:r w:rsidRPr="009A6B0D">
              <w:rPr>
                <w:rFonts w:ascii="Times New Roman" w:hAnsi="Times New Roman"/>
                <w:sz w:val="24"/>
                <w:szCs w:val="24"/>
              </w:rPr>
              <w:lastRenderedPageBreak/>
              <w:t>Принятие мер по ликвидации задолженности по договорам аренды, в том числе за счет ведения претензионно – исковой работы.</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lastRenderedPageBreak/>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комплексного анализа, прогнозирования и инвестиций управления финансов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lastRenderedPageBreak/>
              <w:t>Отдел правового обеспечения администрации района.</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lastRenderedPageBreak/>
              <w:t>20</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Проведение работы по поступлению неналоговых доходов по договорам на установку и эксплуатацию рекламных конструкций, а также за предоставление права на размещение нестационарных торговых объектов.</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архитектуры и градостроительства управления индустриальной, строительной и коммунальной политики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развития сельского хозяйства и  предпринимательства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земельных и имущественных отношений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Главы муниципальных образований, входящих в состав Татищевского муниципального района Саратовской области.</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21</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Проведение административных комиссий, увеличение результативности их деятельности. Увеличение неналоговых доходов за счет мобилизации штрафов административных комиссий.</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Административная комиссия при администрации  Татищевского муниципального района Саратовской области.</w:t>
            </w:r>
          </w:p>
        </w:tc>
      </w:tr>
      <w:tr w:rsidR="009A6B0D" w:rsidRPr="009A6B0D" w:rsidTr="009A6B0D">
        <w:trPr>
          <w:jc w:val="center"/>
        </w:trPr>
        <w:tc>
          <w:tcPr>
            <w:tcW w:w="817"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22</w:t>
            </w:r>
          </w:p>
        </w:tc>
        <w:tc>
          <w:tcPr>
            <w:tcW w:w="6946"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Проведение мероприятий по выявлению объектов, подлежащих включению в Перечень объектов недвижимого имущества, в отношении которых налоговая база определяется как кадастровая стоимость</w:t>
            </w:r>
          </w:p>
        </w:tc>
        <w:tc>
          <w:tcPr>
            <w:tcW w:w="2126" w:type="dxa"/>
            <w:vAlign w:val="center"/>
          </w:tcPr>
          <w:p w:rsidR="009A6B0D" w:rsidRPr="009A6B0D" w:rsidRDefault="009A6B0D" w:rsidP="009A6B0D">
            <w:pPr>
              <w:jc w:val="center"/>
              <w:rPr>
                <w:rFonts w:ascii="Times New Roman" w:hAnsi="Times New Roman"/>
                <w:sz w:val="24"/>
                <w:szCs w:val="24"/>
              </w:rPr>
            </w:pPr>
            <w:r w:rsidRPr="009A6B0D">
              <w:rPr>
                <w:rFonts w:ascii="Times New Roman" w:hAnsi="Times New Roman"/>
                <w:sz w:val="24"/>
                <w:szCs w:val="24"/>
              </w:rPr>
              <w:t>Постоянно</w:t>
            </w:r>
          </w:p>
        </w:tc>
        <w:tc>
          <w:tcPr>
            <w:tcW w:w="4897" w:type="dxa"/>
            <w:vAlign w:val="center"/>
          </w:tcPr>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земельных и имущественных отношений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развития сельского хозяйства и  предпринимательства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Отдел комплексного анализа, прогнозирования и инвестиций управления финансов администрации района.</w:t>
            </w:r>
          </w:p>
          <w:p w:rsidR="009A6B0D" w:rsidRPr="009A6B0D" w:rsidRDefault="009A6B0D" w:rsidP="009A6B0D">
            <w:pPr>
              <w:jc w:val="both"/>
              <w:rPr>
                <w:rFonts w:ascii="Times New Roman" w:hAnsi="Times New Roman"/>
                <w:sz w:val="24"/>
                <w:szCs w:val="24"/>
              </w:rPr>
            </w:pPr>
            <w:r w:rsidRPr="009A6B0D">
              <w:rPr>
                <w:rFonts w:ascii="Times New Roman" w:hAnsi="Times New Roman"/>
                <w:sz w:val="24"/>
                <w:szCs w:val="24"/>
              </w:rPr>
              <w:t>Главы муниципальных образований, входящих в состав Татищевского муниципального района Саратовской области.</w:t>
            </w:r>
          </w:p>
        </w:tc>
      </w:tr>
    </w:tbl>
    <w:p w:rsidR="009A6B0D" w:rsidRPr="009A6B0D" w:rsidRDefault="009A6B0D" w:rsidP="009A6B0D">
      <w:pPr>
        <w:spacing w:line="276" w:lineRule="auto"/>
        <w:jc w:val="center"/>
        <w:rPr>
          <w:sz w:val="22"/>
          <w:szCs w:val="22"/>
        </w:rPr>
      </w:pPr>
    </w:p>
    <w:p w:rsidR="009A6B0D" w:rsidRPr="009A6B0D" w:rsidRDefault="009A6B0D" w:rsidP="009A6B0D">
      <w:pPr>
        <w:tabs>
          <w:tab w:val="left" w:pos="3480"/>
        </w:tabs>
        <w:suppressAutoHyphens/>
        <w:jc w:val="center"/>
        <w:rPr>
          <w:szCs w:val="28"/>
          <w:lang w:eastAsia="zh-CN"/>
        </w:rPr>
      </w:pPr>
    </w:p>
    <w:sectPr w:rsidR="009A6B0D" w:rsidRPr="009A6B0D" w:rsidSect="009A6B0D">
      <w:pgSz w:w="16838" w:h="11906" w:orient="landscape"/>
      <w:pgMar w:top="1134" w:right="1134" w:bottom="851"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574" w:rsidRDefault="00AB7574" w:rsidP="0069478B">
      <w:r>
        <w:separator/>
      </w:r>
    </w:p>
  </w:endnote>
  <w:endnote w:type="continuationSeparator" w:id="0">
    <w:p w:rsidR="00AB7574" w:rsidRDefault="00AB7574"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574" w:rsidRDefault="00AB7574" w:rsidP="0069478B">
      <w:r>
        <w:separator/>
      </w:r>
    </w:p>
  </w:footnote>
  <w:footnote w:type="continuationSeparator" w:id="0">
    <w:p w:rsidR="00AB7574" w:rsidRDefault="00AB7574"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303622"/>
      <w:docPartObj>
        <w:docPartGallery w:val="Page Numbers (Top of Page)"/>
        <w:docPartUnique/>
      </w:docPartObj>
    </w:sdtPr>
    <w:sdtEndPr/>
    <w:sdtContent>
      <w:p w:rsidR="009A6B0D" w:rsidRDefault="009A6B0D">
        <w:pPr>
          <w:pStyle w:val="a5"/>
          <w:jc w:val="center"/>
        </w:pPr>
        <w:r>
          <w:fldChar w:fldCharType="begin"/>
        </w:r>
        <w:r>
          <w:instrText>PAGE   \* MERGEFORMAT</w:instrText>
        </w:r>
        <w:r>
          <w:fldChar w:fldCharType="separate"/>
        </w:r>
        <w:r w:rsidR="00164B1C">
          <w:rPr>
            <w:noProof/>
          </w:rPr>
          <w:t>2</w:t>
        </w:r>
        <w:r>
          <w:fldChar w:fldCharType="end"/>
        </w:r>
      </w:p>
    </w:sdtContent>
  </w:sdt>
  <w:p w:rsidR="009A6B0D" w:rsidRDefault="009A6B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B1C"/>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A6162"/>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A6B0D"/>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B7574"/>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39EE"/>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11C3"/>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42">
    <w:name w:val="Сетка таблицы4"/>
    <w:basedOn w:val="a3"/>
    <w:next w:val="af9"/>
    <w:uiPriority w:val="59"/>
    <w:rsid w:val="009A6B0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42">
    <w:name w:val="Сетка таблицы4"/>
    <w:basedOn w:val="a3"/>
    <w:next w:val="af9"/>
    <w:uiPriority w:val="59"/>
    <w:rsid w:val="009A6B0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B396-2384-40B5-9EB2-3EF8D6E2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6</Pages>
  <Words>1674</Words>
  <Characters>9543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2025-01-31T09:15:00Z</cp:lastPrinted>
  <dcterms:created xsi:type="dcterms:W3CDTF">2025-01-31T09:16:00Z</dcterms:created>
  <dcterms:modified xsi:type="dcterms:W3CDTF">2025-01-31T09:16:00Z</dcterms:modified>
</cp:coreProperties>
</file>